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5B" w:rsidRPr="00912BB3" w:rsidRDefault="007A270F" w:rsidP="004542CD">
      <w:pPr>
        <w:pStyle w:val="Heading3"/>
      </w:pPr>
      <w:r w:rsidRPr="00912BB3">
        <w:t xml:space="preserve">EVIDENCE </w:t>
      </w:r>
      <w:r w:rsidR="006E7404" w:rsidRPr="00912BB3">
        <w:t>TEMPLATE</w:t>
      </w:r>
    </w:p>
    <w:p w:rsidR="00AF347D" w:rsidRPr="00912BB3" w:rsidRDefault="008D165B" w:rsidP="004542CD">
      <w:pPr>
        <w:pStyle w:val="Heading3"/>
        <w:rPr>
          <w:i/>
        </w:rPr>
      </w:pPr>
      <w:r w:rsidRPr="00912BB3">
        <w:rPr>
          <w:i/>
        </w:rPr>
        <w:t xml:space="preserve">Please complete this </w:t>
      </w:r>
      <w:r w:rsidR="00B06B01" w:rsidRPr="00912BB3">
        <w:rPr>
          <w:i/>
        </w:rPr>
        <w:t>template</w:t>
      </w:r>
      <w:r w:rsidRPr="00912BB3">
        <w:rPr>
          <w:i/>
        </w:rPr>
        <w:t xml:space="preserve"> as succinctly as possible providing l</w:t>
      </w:r>
      <w:r w:rsidR="00AF347D" w:rsidRPr="00912BB3">
        <w:rPr>
          <w:i/>
        </w:rPr>
        <w:t>i</w:t>
      </w:r>
      <w:r w:rsidRPr="00912BB3">
        <w:rPr>
          <w:i/>
        </w:rPr>
        <w:t>nks to the evidence (e.g</w:t>
      </w:r>
      <w:r w:rsidR="00D53120" w:rsidRPr="00912BB3">
        <w:rPr>
          <w:i/>
        </w:rPr>
        <w:t>.</w:t>
      </w:r>
      <w:r w:rsidRPr="00912BB3">
        <w:rPr>
          <w:i/>
        </w:rPr>
        <w:t xml:space="preserve"> citing specific learning outcomes, module codes, handbooks </w:t>
      </w:r>
      <w:r w:rsidR="003E7962" w:rsidRPr="00912BB3">
        <w:rPr>
          <w:i/>
        </w:rPr>
        <w:t>etc.</w:t>
      </w:r>
      <w:r w:rsidRPr="00912BB3">
        <w:rPr>
          <w:i/>
        </w:rPr>
        <w:t xml:space="preserve">). </w:t>
      </w:r>
      <w:r w:rsidR="00D53120" w:rsidRPr="00912BB3">
        <w:rPr>
          <w:i/>
        </w:rPr>
        <w:t>A</w:t>
      </w:r>
      <w:r w:rsidRPr="00912BB3">
        <w:rPr>
          <w:i/>
        </w:rPr>
        <w:t xml:space="preserve">ll wording in italics must be deleted, it </w:t>
      </w:r>
      <w:r w:rsidR="007A270F" w:rsidRPr="00912BB3">
        <w:rPr>
          <w:i/>
        </w:rPr>
        <w:t>provides</w:t>
      </w:r>
      <w:r w:rsidRPr="00912BB3">
        <w:rPr>
          <w:i/>
        </w:rPr>
        <w:t xml:space="preserve"> brief guidance, it is not a comprehensive list of what should be includ</w:t>
      </w:r>
      <w:r w:rsidR="00AF347D" w:rsidRPr="00912BB3">
        <w:rPr>
          <w:i/>
        </w:rPr>
        <w:t xml:space="preserve">ed.  </w:t>
      </w:r>
    </w:p>
    <w:p w:rsidR="00B62E4D" w:rsidRPr="00912BB3" w:rsidRDefault="00B62E4D" w:rsidP="00B62E4D"/>
    <w:p w:rsidR="00B62E4D" w:rsidRPr="00912BB3" w:rsidRDefault="00B62E4D" w:rsidP="00B62E4D"/>
    <w:p w:rsidR="009F27B8" w:rsidRPr="00912BB3" w:rsidRDefault="001F38DF" w:rsidP="004542CD">
      <w:pPr>
        <w:pStyle w:val="Heading3"/>
      </w:pPr>
      <w:r w:rsidRPr="00912BB3">
        <w:t>Section 1</w:t>
      </w:r>
      <w:r w:rsidR="009B1C25" w:rsidRPr="00912BB3">
        <w:t xml:space="preserve"> -</w:t>
      </w:r>
      <w:r w:rsidRPr="00912BB3">
        <w:t xml:space="preserve"> The degrees 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887"/>
        <w:gridCol w:w="8073"/>
      </w:tblGrid>
      <w:tr w:rsidR="00155874" w:rsidRPr="00912BB3">
        <w:trPr>
          <w:trHeight w:val="436"/>
          <w:tblHeader/>
        </w:trPr>
        <w:tc>
          <w:tcPr>
            <w:tcW w:w="13149" w:type="dxa"/>
            <w:gridSpan w:val="2"/>
            <w:shd w:val="clear" w:color="auto" w:fill="343E5F"/>
            <w:vAlign w:val="bottom"/>
          </w:tcPr>
          <w:p w:rsidR="00155874" w:rsidRPr="00912BB3" w:rsidRDefault="00155874" w:rsidP="00155874">
            <w:pPr>
              <w:pStyle w:val="Heading5"/>
              <w:rPr>
                <w:sz w:val="20"/>
                <w:szCs w:val="20"/>
              </w:rPr>
            </w:pPr>
            <w:r w:rsidRPr="00912BB3">
              <w:rPr>
                <w:sz w:val="20"/>
                <w:szCs w:val="20"/>
              </w:rPr>
              <w:t xml:space="preserve">Scope of </w:t>
            </w:r>
            <w:r w:rsidR="001F38DF" w:rsidRPr="00912BB3">
              <w:rPr>
                <w:sz w:val="20"/>
                <w:szCs w:val="20"/>
              </w:rPr>
              <w:t>Application</w:t>
            </w:r>
          </w:p>
        </w:tc>
      </w:tr>
      <w:tr w:rsidR="00446C1F" w:rsidRPr="00912BB3">
        <w:trPr>
          <w:trHeight w:val="588"/>
        </w:trPr>
        <w:tc>
          <w:tcPr>
            <w:tcW w:w="4935" w:type="dxa"/>
            <w:shd w:val="clear" w:color="auto" w:fill="E6E6E6"/>
          </w:tcPr>
          <w:p w:rsidR="00155874" w:rsidRPr="00912BB3" w:rsidRDefault="00155874" w:rsidP="003F6761">
            <w:pPr>
              <w:pStyle w:val="CLQEBullets"/>
              <w:tabs>
                <w:tab w:val="clear" w:pos="288"/>
              </w:tabs>
              <w:jc w:val="both"/>
              <w:rPr>
                <w:rFonts w:cs="Arial"/>
                <w:sz w:val="20"/>
                <w:szCs w:val="20"/>
              </w:rPr>
            </w:pPr>
            <w:r w:rsidRPr="00912BB3">
              <w:rPr>
                <w:rFonts w:cs="Arial"/>
                <w:sz w:val="20"/>
                <w:szCs w:val="20"/>
              </w:rPr>
              <w:t>Accreditation subject area</w:t>
            </w:r>
          </w:p>
          <w:p w:rsidR="009F27B8" w:rsidRPr="00912BB3" w:rsidRDefault="009F27B8" w:rsidP="003F6761">
            <w:pPr>
              <w:pStyle w:val="StyleTableBodyTextItalic"/>
              <w:spacing w:after="0"/>
              <w:jc w:val="both"/>
              <w:rPr>
                <w:i w:val="0"/>
                <w:sz w:val="20"/>
                <w:szCs w:val="20"/>
              </w:rPr>
            </w:pPr>
          </w:p>
        </w:tc>
        <w:tc>
          <w:tcPr>
            <w:tcW w:w="8214" w:type="dxa"/>
          </w:tcPr>
          <w:p w:rsidR="00446C1F" w:rsidRPr="00912BB3" w:rsidRDefault="00774B75" w:rsidP="003F6761">
            <w:pPr>
              <w:rPr>
                <w:b/>
                <w:i/>
              </w:rPr>
            </w:pPr>
            <w:r w:rsidRPr="00912BB3">
              <w:rPr>
                <w:i/>
              </w:rPr>
              <w:t>Molecular Aspects of Biology</w:t>
            </w:r>
          </w:p>
          <w:p w:rsidR="00774B75" w:rsidRPr="00912BB3" w:rsidRDefault="00774B75" w:rsidP="003F6761">
            <w:pPr>
              <w:rPr>
                <w:i/>
              </w:rPr>
            </w:pPr>
            <w:r w:rsidRPr="00912BB3">
              <w:rPr>
                <w:i/>
              </w:rPr>
              <w:t>Whole Organism Biology</w:t>
            </w:r>
          </w:p>
          <w:p w:rsidR="00774B75" w:rsidRPr="00912BB3" w:rsidRDefault="00774B75" w:rsidP="003F6761">
            <w:pPr>
              <w:rPr>
                <w:i/>
              </w:rPr>
            </w:pPr>
            <w:r w:rsidRPr="00912BB3">
              <w:rPr>
                <w:i/>
              </w:rPr>
              <w:t>Ecological and Environmental Sciences</w:t>
            </w:r>
          </w:p>
          <w:p w:rsidR="009F27B8" w:rsidRPr="00912BB3" w:rsidRDefault="00774B75" w:rsidP="003F6761">
            <w:pPr>
              <w:rPr>
                <w:i/>
              </w:rPr>
            </w:pPr>
            <w:r w:rsidRPr="00912BB3">
              <w:rPr>
                <w:i/>
              </w:rPr>
              <w:t>(select all that apply)</w:t>
            </w:r>
          </w:p>
        </w:tc>
      </w:tr>
      <w:tr w:rsidR="00AF44CC" w:rsidRPr="00912BB3">
        <w:trPr>
          <w:trHeight w:val="321"/>
        </w:trPr>
        <w:tc>
          <w:tcPr>
            <w:tcW w:w="4935" w:type="dxa"/>
            <w:shd w:val="clear" w:color="auto" w:fill="E6E6E6"/>
          </w:tcPr>
          <w:p w:rsidR="00AF44CC" w:rsidRPr="00912BB3" w:rsidRDefault="00155874" w:rsidP="003F6761">
            <w:pPr>
              <w:pStyle w:val="StyleTableBodyTextItalic"/>
              <w:spacing w:after="0"/>
              <w:jc w:val="both"/>
              <w:rPr>
                <w:i w:val="0"/>
                <w:sz w:val="20"/>
                <w:szCs w:val="20"/>
              </w:rPr>
            </w:pPr>
            <w:r w:rsidRPr="00912BB3">
              <w:rPr>
                <w:i w:val="0"/>
                <w:sz w:val="20"/>
                <w:szCs w:val="20"/>
              </w:rPr>
              <w:t xml:space="preserve">Proposing </w:t>
            </w:r>
            <w:r w:rsidR="00CB7DC2" w:rsidRPr="00912BB3">
              <w:rPr>
                <w:i w:val="0"/>
                <w:sz w:val="20"/>
                <w:szCs w:val="20"/>
              </w:rPr>
              <w:t>University</w:t>
            </w:r>
          </w:p>
        </w:tc>
        <w:tc>
          <w:tcPr>
            <w:tcW w:w="8214" w:type="dxa"/>
          </w:tcPr>
          <w:p w:rsidR="00AF44CC" w:rsidRPr="00912BB3" w:rsidRDefault="008D165B" w:rsidP="003F6761">
            <w:pPr>
              <w:rPr>
                <w:rFonts w:cs="Arial"/>
                <w:i/>
                <w:szCs w:val="20"/>
              </w:rPr>
            </w:pPr>
            <w:r w:rsidRPr="00912BB3">
              <w:rPr>
                <w:rFonts w:cs="Arial"/>
                <w:i/>
                <w:szCs w:val="20"/>
              </w:rPr>
              <w:t>Name of</w:t>
            </w:r>
            <w:r w:rsidR="00CB7DC2" w:rsidRPr="00912BB3">
              <w:rPr>
                <w:rFonts w:cs="Arial"/>
                <w:i/>
                <w:szCs w:val="20"/>
              </w:rPr>
              <w:t xml:space="preserve"> University</w:t>
            </w:r>
          </w:p>
        </w:tc>
      </w:tr>
      <w:tr w:rsidR="00155874" w:rsidRPr="00912BB3">
        <w:trPr>
          <w:trHeight w:val="253"/>
        </w:trPr>
        <w:tc>
          <w:tcPr>
            <w:tcW w:w="4935" w:type="dxa"/>
            <w:shd w:val="clear" w:color="auto" w:fill="E6E6E6"/>
          </w:tcPr>
          <w:p w:rsidR="00155874" w:rsidRPr="00912BB3" w:rsidRDefault="003F6761" w:rsidP="003F6761">
            <w:pPr>
              <w:pStyle w:val="CLQEBullets"/>
              <w:tabs>
                <w:tab w:val="clear" w:pos="288"/>
              </w:tabs>
              <w:jc w:val="both"/>
              <w:rPr>
                <w:rFonts w:cs="Arial"/>
                <w:sz w:val="20"/>
                <w:szCs w:val="20"/>
              </w:rPr>
            </w:pPr>
            <w:r w:rsidRPr="00912BB3">
              <w:rPr>
                <w:rFonts w:cs="Arial"/>
                <w:sz w:val="20"/>
                <w:szCs w:val="20"/>
              </w:rPr>
              <w:t>Department/Faculty/S</w:t>
            </w:r>
            <w:r w:rsidR="00155874" w:rsidRPr="00912BB3">
              <w:rPr>
                <w:rFonts w:cs="Arial"/>
                <w:sz w:val="20"/>
                <w:szCs w:val="20"/>
              </w:rPr>
              <w:t>chool etc.</w:t>
            </w:r>
          </w:p>
        </w:tc>
        <w:tc>
          <w:tcPr>
            <w:tcW w:w="8214" w:type="dxa"/>
          </w:tcPr>
          <w:p w:rsidR="00155874" w:rsidRPr="00912BB3" w:rsidRDefault="008D165B" w:rsidP="003F6761">
            <w:pPr>
              <w:rPr>
                <w:rFonts w:cs="Arial"/>
                <w:i/>
                <w:szCs w:val="20"/>
              </w:rPr>
            </w:pPr>
            <w:r w:rsidRPr="00912BB3">
              <w:rPr>
                <w:rFonts w:cs="Arial"/>
                <w:i/>
                <w:szCs w:val="20"/>
              </w:rPr>
              <w:t xml:space="preserve">Name of department </w:t>
            </w:r>
            <w:r w:rsidR="003E7962" w:rsidRPr="00912BB3">
              <w:rPr>
                <w:rFonts w:cs="Arial"/>
                <w:i/>
                <w:szCs w:val="20"/>
              </w:rPr>
              <w:t>etc.</w:t>
            </w:r>
          </w:p>
        </w:tc>
      </w:tr>
      <w:tr w:rsidR="00155874" w:rsidRPr="00912BB3">
        <w:trPr>
          <w:trHeight w:val="325"/>
        </w:trPr>
        <w:tc>
          <w:tcPr>
            <w:tcW w:w="4935" w:type="dxa"/>
            <w:shd w:val="clear" w:color="auto" w:fill="E6E6E6"/>
          </w:tcPr>
          <w:p w:rsidR="008755B2" w:rsidRPr="00912BB3" w:rsidRDefault="00155874" w:rsidP="003F6761">
            <w:pPr>
              <w:pStyle w:val="CLQEBullets"/>
              <w:tabs>
                <w:tab w:val="clear" w:pos="288"/>
              </w:tabs>
              <w:rPr>
                <w:rFonts w:cs="Arial"/>
                <w:sz w:val="20"/>
                <w:szCs w:val="20"/>
              </w:rPr>
            </w:pPr>
            <w:r w:rsidRPr="00912BB3">
              <w:rPr>
                <w:rFonts w:cs="Arial"/>
                <w:sz w:val="20"/>
                <w:szCs w:val="20"/>
              </w:rPr>
              <w:t>Programme title and titles of awards covered</w:t>
            </w:r>
          </w:p>
        </w:tc>
        <w:tc>
          <w:tcPr>
            <w:tcW w:w="8214" w:type="dxa"/>
          </w:tcPr>
          <w:p w:rsidR="00446C1F" w:rsidRPr="00912BB3" w:rsidRDefault="008D165B" w:rsidP="003F6761">
            <w:pPr>
              <w:rPr>
                <w:rFonts w:cs="Arial"/>
                <w:i/>
                <w:szCs w:val="20"/>
              </w:rPr>
            </w:pPr>
            <w:r w:rsidRPr="00912BB3">
              <w:rPr>
                <w:rFonts w:cs="Arial"/>
                <w:i/>
                <w:szCs w:val="20"/>
              </w:rPr>
              <w:t>List titles of awards</w:t>
            </w:r>
          </w:p>
        </w:tc>
      </w:tr>
      <w:tr w:rsidR="00155874" w:rsidRPr="00912BB3">
        <w:trPr>
          <w:trHeight w:val="253"/>
        </w:trPr>
        <w:tc>
          <w:tcPr>
            <w:tcW w:w="4935" w:type="dxa"/>
            <w:shd w:val="clear" w:color="auto" w:fill="E6E6E6"/>
          </w:tcPr>
          <w:p w:rsidR="00155874" w:rsidRPr="00912BB3" w:rsidRDefault="00155874" w:rsidP="003F6761">
            <w:pPr>
              <w:pStyle w:val="CLQEBullets"/>
              <w:tabs>
                <w:tab w:val="clear" w:pos="288"/>
              </w:tabs>
              <w:jc w:val="both"/>
              <w:rPr>
                <w:rFonts w:cs="Arial"/>
                <w:sz w:val="20"/>
                <w:szCs w:val="20"/>
              </w:rPr>
            </w:pPr>
            <w:r w:rsidRPr="00912BB3">
              <w:rPr>
                <w:rFonts w:cs="Arial"/>
                <w:sz w:val="20"/>
                <w:szCs w:val="20"/>
              </w:rPr>
              <w:t>Programme duration</w:t>
            </w:r>
          </w:p>
        </w:tc>
        <w:tc>
          <w:tcPr>
            <w:tcW w:w="8214" w:type="dxa"/>
          </w:tcPr>
          <w:p w:rsidR="00155874" w:rsidRPr="00912BB3" w:rsidRDefault="008D165B" w:rsidP="003F6761">
            <w:pPr>
              <w:rPr>
                <w:rFonts w:cs="Arial"/>
                <w:i/>
                <w:szCs w:val="20"/>
              </w:rPr>
            </w:pPr>
            <w:r w:rsidRPr="00912BB3">
              <w:rPr>
                <w:rFonts w:cs="Arial"/>
                <w:i/>
                <w:szCs w:val="20"/>
              </w:rPr>
              <w:t>State duration</w:t>
            </w:r>
          </w:p>
        </w:tc>
      </w:tr>
      <w:tr w:rsidR="00155874" w:rsidRPr="00912BB3">
        <w:trPr>
          <w:trHeight w:val="253"/>
        </w:trPr>
        <w:tc>
          <w:tcPr>
            <w:tcW w:w="4935" w:type="dxa"/>
            <w:shd w:val="clear" w:color="auto" w:fill="E6E6E6"/>
          </w:tcPr>
          <w:p w:rsidR="00155874" w:rsidRPr="00912BB3" w:rsidRDefault="00CB7DC2" w:rsidP="003F6761">
            <w:pPr>
              <w:pStyle w:val="CLQEBullets"/>
              <w:tabs>
                <w:tab w:val="clear" w:pos="288"/>
              </w:tabs>
              <w:jc w:val="both"/>
              <w:rPr>
                <w:rFonts w:cs="Arial"/>
                <w:sz w:val="20"/>
                <w:szCs w:val="20"/>
              </w:rPr>
            </w:pPr>
            <w:r w:rsidRPr="00912BB3">
              <w:rPr>
                <w:rFonts w:cs="Arial"/>
                <w:sz w:val="20"/>
                <w:szCs w:val="20"/>
              </w:rPr>
              <w:t>Date</w:t>
            </w:r>
            <w:r w:rsidR="00E22D9B" w:rsidRPr="00912BB3">
              <w:rPr>
                <w:rFonts w:cs="Arial"/>
                <w:sz w:val="20"/>
                <w:szCs w:val="20"/>
              </w:rPr>
              <w:t xml:space="preserve"> applying</w:t>
            </w:r>
            <w:r w:rsidRPr="00912BB3">
              <w:rPr>
                <w:rFonts w:cs="Arial"/>
                <w:sz w:val="20"/>
                <w:szCs w:val="20"/>
              </w:rPr>
              <w:t xml:space="preserve"> </w:t>
            </w:r>
            <w:r w:rsidR="007D78BE" w:rsidRPr="00912BB3">
              <w:rPr>
                <w:rFonts w:cs="Arial"/>
                <w:sz w:val="20"/>
                <w:szCs w:val="20"/>
              </w:rPr>
              <w:t>university approved programmes</w:t>
            </w:r>
          </w:p>
        </w:tc>
        <w:tc>
          <w:tcPr>
            <w:tcW w:w="8214" w:type="dxa"/>
          </w:tcPr>
          <w:p w:rsidR="00155874" w:rsidRPr="00912BB3" w:rsidRDefault="008D165B" w:rsidP="003F6761">
            <w:pPr>
              <w:rPr>
                <w:rFonts w:cs="Arial"/>
                <w:i/>
                <w:szCs w:val="20"/>
              </w:rPr>
            </w:pPr>
            <w:r w:rsidRPr="00912BB3">
              <w:rPr>
                <w:rFonts w:cs="Arial"/>
                <w:i/>
                <w:szCs w:val="20"/>
              </w:rPr>
              <w:t>Provide month and year</w:t>
            </w:r>
          </w:p>
        </w:tc>
      </w:tr>
      <w:tr w:rsidR="00155874" w:rsidRPr="00912BB3" w:rsidTr="00E406F1">
        <w:trPr>
          <w:trHeight w:val="253"/>
        </w:trPr>
        <w:tc>
          <w:tcPr>
            <w:tcW w:w="4935" w:type="dxa"/>
            <w:tcBorders>
              <w:bottom w:val="single" w:sz="4" w:space="0" w:color="A6A6A6" w:themeColor="background1" w:themeShade="A6"/>
            </w:tcBorders>
            <w:shd w:val="clear" w:color="auto" w:fill="E6E6E6"/>
          </w:tcPr>
          <w:p w:rsidR="00155874" w:rsidRPr="00912BB3" w:rsidRDefault="00155874" w:rsidP="003F6761">
            <w:pPr>
              <w:pStyle w:val="CLQEBullets"/>
              <w:tabs>
                <w:tab w:val="clear" w:pos="288"/>
              </w:tabs>
              <w:jc w:val="both"/>
              <w:rPr>
                <w:rFonts w:cs="Arial"/>
                <w:sz w:val="20"/>
                <w:szCs w:val="20"/>
              </w:rPr>
            </w:pPr>
            <w:r w:rsidRPr="00912BB3">
              <w:rPr>
                <w:rFonts w:cs="Arial"/>
                <w:sz w:val="20"/>
                <w:szCs w:val="20"/>
              </w:rPr>
              <w:t>Planned review date</w:t>
            </w:r>
          </w:p>
        </w:tc>
        <w:tc>
          <w:tcPr>
            <w:tcW w:w="8214" w:type="dxa"/>
            <w:tcBorders>
              <w:bottom w:val="single" w:sz="4" w:space="0" w:color="A6A6A6" w:themeColor="background1" w:themeShade="A6"/>
            </w:tcBorders>
          </w:tcPr>
          <w:p w:rsidR="00155874" w:rsidRPr="00912BB3" w:rsidRDefault="008D165B" w:rsidP="003F6761">
            <w:pPr>
              <w:rPr>
                <w:rFonts w:cs="Arial"/>
                <w:i/>
                <w:szCs w:val="20"/>
              </w:rPr>
            </w:pPr>
            <w:r w:rsidRPr="00912BB3">
              <w:rPr>
                <w:rFonts w:cs="Arial"/>
                <w:i/>
                <w:szCs w:val="20"/>
              </w:rPr>
              <w:t>Provide month and year</w:t>
            </w:r>
            <w:r w:rsidR="00D12929" w:rsidRPr="00912BB3">
              <w:rPr>
                <w:rFonts w:cs="Arial"/>
                <w:i/>
                <w:szCs w:val="20"/>
              </w:rPr>
              <w:t xml:space="preserve"> (a</w:t>
            </w:r>
            <w:r w:rsidR="007D78BE" w:rsidRPr="00912BB3">
              <w:rPr>
                <w:rFonts w:cs="Arial"/>
                <w:i/>
                <w:szCs w:val="20"/>
              </w:rPr>
              <w:t xml:space="preserve">ny large internal review, or periodic external review of the </w:t>
            </w:r>
            <w:proofErr w:type="spellStart"/>
            <w:r w:rsidR="007D78BE" w:rsidRPr="00912BB3">
              <w:rPr>
                <w:rFonts w:cs="Arial"/>
                <w:i/>
                <w:szCs w:val="20"/>
              </w:rPr>
              <w:t>programmes</w:t>
            </w:r>
            <w:proofErr w:type="spellEnd"/>
            <w:r w:rsidR="007D78BE" w:rsidRPr="00912BB3">
              <w:rPr>
                <w:rFonts w:cs="Arial"/>
                <w:i/>
                <w:szCs w:val="20"/>
              </w:rPr>
              <w:t>)</w:t>
            </w:r>
          </w:p>
        </w:tc>
      </w:tr>
      <w:tr w:rsidR="009632F6" w:rsidRPr="00912BB3" w:rsidTr="00E406F1">
        <w:trPr>
          <w:trHeight w:val="253"/>
        </w:trPr>
        <w:tc>
          <w:tcPr>
            <w:tcW w:w="4935" w:type="dxa"/>
            <w:tcBorders>
              <w:bottom w:val="single" w:sz="4" w:space="0" w:color="auto"/>
            </w:tcBorders>
            <w:shd w:val="clear" w:color="auto" w:fill="E6E6E6"/>
          </w:tcPr>
          <w:p w:rsidR="009632F6" w:rsidRPr="00912BB3" w:rsidRDefault="009632F6" w:rsidP="003F6761">
            <w:pPr>
              <w:pStyle w:val="CLQEBullets"/>
              <w:tabs>
                <w:tab w:val="clear" w:pos="288"/>
              </w:tabs>
              <w:jc w:val="both"/>
              <w:rPr>
                <w:rFonts w:cs="Arial"/>
                <w:sz w:val="20"/>
                <w:szCs w:val="20"/>
              </w:rPr>
            </w:pPr>
            <w:r w:rsidRPr="00912BB3">
              <w:rPr>
                <w:rFonts w:cs="Arial"/>
                <w:sz w:val="20"/>
                <w:szCs w:val="20"/>
              </w:rPr>
              <w:t>Is the programme delivered in English?</w:t>
            </w:r>
          </w:p>
        </w:tc>
        <w:tc>
          <w:tcPr>
            <w:tcW w:w="8214" w:type="dxa"/>
            <w:tcBorders>
              <w:bottom w:val="single" w:sz="4" w:space="0" w:color="auto"/>
            </w:tcBorders>
          </w:tcPr>
          <w:p w:rsidR="009632F6" w:rsidRPr="00912BB3" w:rsidRDefault="009632F6" w:rsidP="00B031CE">
            <w:pPr>
              <w:rPr>
                <w:rFonts w:cs="Arial"/>
                <w:i/>
                <w:szCs w:val="20"/>
              </w:rPr>
            </w:pPr>
            <w:r w:rsidRPr="00912BB3">
              <w:rPr>
                <w:rFonts w:cs="Arial"/>
                <w:i/>
                <w:szCs w:val="20"/>
              </w:rPr>
              <w:t>Yes/No</w:t>
            </w:r>
            <w:r w:rsidR="00ED34F3" w:rsidRPr="00912BB3">
              <w:rPr>
                <w:rFonts w:cs="Arial"/>
                <w:i/>
                <w:szCs w:val="20"/>
              </w:rPr>
              <w:t xml:space="preserve">. If no, please ensure all </w:t>
            </w:r>
            <w:proofErr w:type="spellStart"/>
            <w:r w:rsidR="00ED34F3" w:rsidRPr="00912BB3">
              <w:rPr>
                <w:rFonts w:cs="Arial"/>
                <w:i/>
                <w:szCs w:val="20"/>
              </w:rPr>
              <w:t>programme</w:t>
            </w:r>
            <w:proofErr w:type="spellEnd"/>
            <w:r w:rsidR="00ED34F3" w:rsidRPr="00912BB3">
              <w:rPr>
                <w:rFonts w:cs="Arial"/>
                <w:i/>
                <w:szCs w:val="20"/>
              </w:rPr>
              <w:t xml:space="preserve"> documentation is translated into English for the accreditation review purposes</w:t>
            </w:r>
            <w:r w:rsidR="00B031CE" w:rsidRPr="00912BB3">
              <w:rPr>
                <w:rFonts w:cs="Arial"/>
                <w:i/>
                <w:szCs w:val="20"/>
              </w:rPr>
              <w:t xml:space="preserve"> and </w:t>
            </w:r>
            <w:r w:rsidR="00ED34F3" w:rsidRPr="00912BB3">
              <w:rPr>
                <w:rFonts w:cs="Arial"/>
                <w:i/>
                <w:szCs w:val="20"/>
              </w:rPr>
              <w:t xml:space="preserve">please state language of delivery. </w:t>
            </w:r>
          </w:p>
        </w:tc>
      </w:tr>
    </w:tbl>
    <w:p w:rsidR="00C23FE8" w:rsidRPr="00912BB3" w:rsidRDefault="00C23FE8" w:rsidP="001F38DF">
      <w:pPr>
        <w:rPr>
          <w:rFonts w:cs="Arial"/>
          <w:b/>
          <w:sz w:val="21"/>
          <w:szCs w:val="21"/>
        </w:rPr>
      </w:pPr>
    </w:p>
    <w:p w:rsidR="00B62E4D" w:rsidRPr="00912BB3" w:rsidRDefault="00B62E4D">
      <w:pPr>
        <w:rPr>
          <w:rFonts w:cs="Arial"/>
          <w:b/>
          <w:sz w:val="21"/>
          <w:szCs w:val="21"/>
        </w:rPr>
      </w:pPr>
      <w:r w:rsidRPr="00912BB3">
        <w:rPr>
          <w:rFonts w:cs="Arial"/>
          <w:b/>
          <w:sz w:val="21"/>
          <w:szCs w:val="21"/>
        </w:rPr>
        <w:br w:type="page"/>
      </w:r>
    </w:p>
    <w:p w:rsidR="001F38DF" w:rsidRPr="00912BB3" w:rsidRDefault="001F38DF" w:rsidP="001F38DF">
      <w:pPr>
        <w:rPr>
          <w:rFonts w:cs="Arial"/>
          <w:b/>
          <w:szCs w:val="20"/>
        </w:rPr>
      </w:pPr>
      <w:r w:rsidRPr="00912BB3">
        <w:rPr>
          <w:b/>
        </w:rPr>
        <w:lastRenderedPageBreak/>
        <w:t>Section 2</w:t>
      </w:r>
      <w:r w:rsidR="009B1C25" w:rsidRPr="00912BB3">
        <w:rPr>
          <w:b/>
        </w:rPr>
        <w:t xml:space="preserve"> -</w:t>
      </w:r>
      <w:r w:rsidRPr="00912BB3">
        <w:rPr>
          <w:b/>
        </w:rPr>
        <w:t xml:space="preserve"> Summary of Evidence</w:t>
      </w:r>
      <w:r w:rsidRPr="00912BB3">
        <w:rPr>
          <w:rFonts w:cs="Arial"/>
          <w:b/>
          <w:szCs w:val="20"/>
        </w:rPr>
        <w:t xml:space="preserve"> </w:t>
      </w:r>
    </w:p>
    <w:p w:rsidR="001F38DF" w:rsidRPr="00912BB3" w:rsidRDefault="001F38DF" w:rsidP="001F38DF">
      <w:pPr>
        <w:rPr>
          <w:rFonts w:cs="Arial"/>
          <w:i/>
          <w:szCs w:val="20"/>
        </w:rPr>
      </w:pPr>
      <w:r w:rsidRPr="00912BB3">
        <w:rPr>
          <w:rFonts w:cs="Arial"/>
          <w:i/>
          <w:szCs w:val="20"/>
        </w:rPr>
        <w:t>The items of evidence should be provided</w:t>
      </w:r>
      <w:r w:rsidR="00C940DF" w:rsidRPr="00912BB3">
        <w:rPr>
          <w:rFonts w:cs="Arial"/>
          <w:i/>
          <w:szCs w:val="20"/>
        </w:rPr>
        <w:t xml:space="preserve"> electronically, and </w:t>
      </w:r>
      <w:r w:rsidRPr="00912BB3">
        <w:rPr>
          <w:rFonts w:cs="Arial"/>
          <w:i/>
          <w:szCs w:val="20"/>
        </w:rPr>
        <w:t xml:space="preserve">may come from a variety of sources. </w:t>
      </w:r>
      <w:r w:rsidR="00C940DF" w:rsidRPr="00912BB3">
        <w:rPr>
          <w:rFonts w:cs="Arial"/>
          <w:i/>
          <w:szCs w:val="20"/>
        </w:rPr>
        <w:t>All evidence, w</w:t>
      </w:r>
      <w:r w:rsidRPr="00912BB3">
        <w:rPr>
          <w:rFonts w:cs="Arial"/>
          <w:i/>
          <w:szCs w:val="20"/>
        </w:rPr>
        <w:t xml:space="preserve">herever possible, </w:t>
      </w:r>
      <w:r w:rsidR="00C940DF" w:rsidRPr="00912BB3">
        <w:rPr>
          <w:rFonts w:cs="Arial"/>
          <w:i/>
          <w:szCs w:val="20"/>
        </w:rPr>
        <w:t xml:space="preserve">should be easily accessible from the documentation provided (e.g. by reference to specific folders, file names, modules </w:t>
      </w:r>
      <w:r w:rsidR="003E7962" w:rsidRPr="00912BB3">
        <w:rPr>
          <w:rFonts w:cs="Arial"/>
          <w:i/>
          <w:szCs w:val="20"/>
        </w:rPr>
        <w:t>etc.</w:t>
      </w:r>
      <w:r w:rsidR="00C940DF" w:rsidRPr="00912BB3">
        <w:rPr>
          <w:rFonts w:cs="Arial"/>
          <w:i/>
          <w:szCs w:val="20"/>
        </w:rPr>
        <w:t xml:space="preserve">). </w:t>
      </w:r>
      <w:r w:rsidR="005A7795" w:rsidRPr="00912BB3">
        <w:rPr>
          <w:rFonts w:cs="Arial"/>
          <w:i/>
          <w:szCs w:val="20"/>
        </w:rPr>
        <w:t xml:space="preserve">Please ensure when referencing modules in the matrix that you include both module code and title and that the file name for module descriptors is clearly </w:t>
      </w:r>
      <w:proofErr w:type="spellStart"/>
      <w:r w:rsidR="005A7795" w:rsidRPr="00912BB3">
        <w:rPr>
          <w:rFonts w:cs="Arial"/>
          <w:i/>
          <w:szCs w:val="20"/>
        </w:rPr>
        <w:t>recognisable</w:t>
      </w:r>
      <w:proofErr w:type="spellEnd"/>
      <w:r w:rsidR="005A7795" w:rsidRPr="00912BB3">
        <w:rPr>
          <w:rFonts w:cs="Arial"/>
          <w:i/>
          <w:szCs w:val="20"/>
        </w:rPr>
        <w:t xml:space="preserve">. </w:t>
      </w:r>
      <w:r w:rsidR="00C940DF" w:rsidRPr="00912BB3">
        <w:rPr>
          <w:rFonts w:cs="Arial"/>
          <w:i/>
          <w:szCs w:val="20"/>
        </w:rPr>
        <w:t>O</w:t>
      </w:r>
      <w:r w:rsidRPr="00912BB3">
        <w:rPr>
          <w:rFonts w:cs="Arial"/>
          <w:i/>
          <w:szCs w:val="20"/>
        </w:rPr>
        <w:t xml:space="preserve">n-line access to the institution’s e-learning facilities should be made available to the Panel. The following table should be completed in order to signpost the assessors to the relevant aspects of the course or documentation. The </w:t>
      </w:r>
      <w:r w:rsidR="00430CF6" w:rsidRPr="00912BB3">
        <w:rPr>
          <w:rFonts w:cs="Arial"/>
          <w:i/>
          <w:szCs w:val="20"/>
        </w:rPr>
        <w:t>e</w:t>
      </w:r>
      <w:r w:rsidR="00C940DF" w:rsidRPr="00912BB3">
        <w:rPr>
          <w:rFonts w:cs="Arial"/>
          <w:i/>
          <w:szCs w:val="20"/>
        </w:rPr>
        <w:t xml:space="preserve">vidence column in the </w:t>
      </w:r>
      <w:r w:rsidRPr="00912BB3">
        <w:rPr>
          <w:rFonts w:cs="Arial"/>
          <w:i/>
          <w:szCs w:val="20"/>
        </w:rPr>
        <w:t xml:space="preserve">table can be divided into levels in the </w:t>
      </w:r>
      <w:proofErr w:type="spellStart"/>
      <w:r w:rsidRPr="00912BB3">
        <w:rPr>
          <w:rFonts w:cs="Arial"/>
          <w:i/>
          <w:szCs w:val="20"/>
        </w:rPr>
        <w:t>prog</w:t>
      </w:r>
      <w:r w:rsidR="00AF347D" w:rsidRPr="00912BB3">
        <w:rPr>
          <w:rFonts w:cs="Arial"/>
          <w:i/>
          <w:szCs w:val="20"/>
        </w:rPr>
        <w:t>ramme</w:t>
      </w:r>
      <w:proofErr w:type="spellEnd"/>
      <w:r w:rsidR="00AF347D" w:rsidRPr="00912BB3">
        <w:rPr>
          <w:rFonts w:cs="Arial"/>
          <w:i/>
          <w:szCs w:val="20"/>
        </w:rPr>
        <w:t xml:space="preserve"> as desired.</w:t>
      </w:r>
    </w:p>
    <w:p w:rsidR="000B0964" w:rsidRPr="00912BB3" w:rsidRDefault="000B0964"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4883"/>
        <w:gridCol w:w="8067"/>
      </w:tblGrid>
      <w:tr w:rsidR="000B0964" w:rsidRPr="00912BB3" w:rsidTr="00C52FEE">
        <w:trPr>
          <w:trHeight w:val="497"/>
        </w:trPr>
        <w:tc>
          <w:tcPr>
            <w:tcW w:w="4883" w:type="dxa"/>
            <w:tcBorders>
              <w:top w:val="single" w:sz="4" w:space="0" w:color="A6A6A6" w:themeColor="background1" w:themeShade="A6"/>
              <w:bottom w:val="single" w:sz="4" w:space="0" w:color="A6A6A6" w:themeColor="background1" w:themeShade="A6"/>
            </w:tcBorders>
            <w:shd w:val="clear" w:color="auto" w:fill="343E5F"/>
            <w:vAlign w:val="bottom"/>
          </w:tcPr>
          <w:p w:rsidR="000B0964" w:rsidRPr="00912BB3" w:rsidRDefault="000B0964" w:rsidP="000B0964">
            <w:pPr>
              <w:keepNext/>
              <w:spacing w:before="80" w:after="20"/>
              <w:outlineLvl w:val="4"/>
              <w:rPr>
                <w:rFonts w:cs="Arial"/>
                <w:b/>
                <w:bCs/>
                <w:color w:val="FFFFFF"/>
                <w:spacing w:val="20"/>
                <w:szCs w:val="20"/>
              </w:rPr>
            </w:pPr>
            <w:r w:rsidRPr="00912BB3">
              <w:rPr>
                <w:rFonts w:cs="Arial"/>
                <w:b/>
                <w:bCs/>
                <w:color w:val="FFFFFF"/>
                <w:spacing w:val="20"/>
                <w:szCs w:val="20"/>
              </w:rPr>
              <w:t>Criteria</w:t>
            </w:r>
          </w:p>
        </w:tc>
        <w:tc>
          <w:tcPr>
            <w:tcW w:w="8067" w:type="dxa"/>
            <w:tcBorders>
              <w:top w:val="single" w:sz="4" w:space="0" w:color="808080"/>
              <w:bottom w:val="single" w:sz="4" w:space="0" w:color="A6A6A6" w:themeColor="background1" w:themeShade="A6"/>
            </w:tcBorders>
            <w:shd w:val="clear" w:color="auto" w:fill="343E5F"/>
            <w:vAlign w:val="bottom"/>
          </w:tcPr>
          <w:p w:rsidR="000B0964" w:rsidRPr="00912BB3" w:rsidRDefault="00C940DF" w:rsidP="000B0964">
            <w:pPr>
              <w:keepNext/>
              <w:spacing w:before="80" w:after="20"/>
              <w:outlineLvl w:val="4"/>
              <w:rPr>
                <w:rFonts w:cs="Arial"/>
                <w:b/>
                <w:bCs/>
                <w:color w:val="FFFFFF"/>
                <w:spacing w:val="20"/>
                <w:szCs w:val="20"/>
              </w:rPr>
            </w:pPr>
            <w:r w:rsidRPr="00912BB3">
              <w:rPr>
                <w:rFonts w:cs="Arial"/>
                <w:b/>
                <w:bCs/>
                <w:color w:val="FFFFFF"/>
                <w:spacing w:val="20"/>
                <w:szCs w:val="20"/>
              </w:rPr>
              <w:t>Evidence</w:t>
            </w:r>
          </w:p>
        </w:tc>
      </w:tr>
      <w:tr w:rsidR="000B0964" w:rsidRPr="00912BB3" w:rsidTr="00C52FEE">
        <w:trPr>
          <w:trHeight w:val="667"/>
        </w:trPr>
        <w:tc>
          <w:tcPr>
            <w:tcW w:w="12950" w:type="dxa"/>
            <w:gridSpan w:val="2"/>
            <w:tcBorders>
              <w:top w:val="single" w:sz="4" w:space="0" w:color="A6A6A6" w:themeColor="background1" w:themeShade="A6"/>
              <w:bottom w:val="single" w:sz="4" w:space="0" w:color="A6A6A6" w:themeColor="background1" w:themeShade="A6"/>
            </w:tcBorders>
            <w:shd w:val="clear" w:color="auto" w:fill="E6E6E6"/>
          </w:tcPr>
          <w:p w:rsidR="003203D0" w:rsidRPr="00E8461B" w:rsidRDefault="00E8461B" w:rsidP="00B2668A">
            <w:pPr>
              <w:pStyle w:val="ListParagraph"/>
              <w:numPr>
                <w:ilvl w:val="0"/>
                <w:numId w:val="2"/>
              </w:numPr>
              <w:spacing w:after="200" w:line="276" w:lineRule="auto"/>
              <w:rPr>
                <w:rFonts w:eastAsia="Calibri" w:cs="Arial"/>
                <w:szCs w:val="20"/>
              </w:rPr>
            </w:pPr>
            <w:r w:rsidRPr="00E8461B">
              <w:rPr>
                <w:rFonts w:eastAsia="Calibri" w:cs="Arial"/>
                <w:sz w:val="20"/>
                <w:szCs w:val="20"/>
              </w:rPr>
              <w:t>Does the documentation indicate that the programme will incorporate a graduating level, capstone, experience which includes the analysis and critical evaluation of data within an independently produced piece of work? The capstone experience should contain the following elements:</w:t>
            </w:r>
          </w:p>
        </w:tc>
      </w:tr>
      <w:tr w:rsidR="000B0964" w:rsidRPr="00912BB3">
        <w:trPr>
          <w:trHeight w:val="1005"/>
        </w:trPr>
        <w:tc>
          <w:tcPr>
            <w:tcW w:w="4883" w:type="dxa"/>
            <w:tcBorders>
              <w:top w:val="single" w:sz="4" w:space="0" w:color="A6A6A6" w:themeColor="background1" w:themeShade="A6"/>
              <w:bottom w:val="single" w:sz="4" w:space="0" w:color="C0C0C0"/>
              <w:right w:val="single" w:sz="4" w:space="0" w:color="C0C0C0"/>
            </w:tcBorders>
            <w:shd w:val="clear" w:color="auto" w:fill="E6E6E6"/>
          </w:tcPr>
          <w:p w:rsidR="000B0964" w:rsidRPr="00E8461B" w:rsidRDefault="00E8461B" w:rsidP="00B2668A">
            <w:pPr>
              <w:pStyle w:val="ListParagraph"/>
              <w:numPr>
                <w:ilvl w:val="0"/>
                <w:numId w:val="4"/>
              </w:numPr>
              <w:spacing w:after="200" w:line="276" w:lineRule="auto"/>
              <w:rPr>
                <w:rFonts w:eastAsia="Calibri" w:cs="Arial"/>
                <w:sz w:val="20"/>
                <w:szCs w:val="20"/>
              </w:rPr>
            </w:pPr>
            <w:r w:rsidRPr="00E8461B">
              <w:rPr>
                <w:rFonts w:eastAsia="Calibri" w:cs="Arial"/>
                <w:sz w:val="20"/>
                <w:szCs w:val="20"/>
              </w:rPr>
              <w:t>The capstone experience will integrate and develop the skills and knowledge gained in earlier years; bring reflection and focus to the whole of the degree experience; and provide students with the opportunity to demonstrate and apply the understanding and skills that they have developed</w:t>
            </w:r>
          </w:p>
        </w:tc>
        <w:tc>
          <w:tcPr>
            <w:tcW w:w="8067" w:type="dxa"/>
            <w:tcBorders>
              <w:top w:val="single" w:sz="4" w:space="0" w:color="A6A6A6" w:themeColor="background1" w:themeShade="A6"/>
              <w:left w:val="single" w:sz="4" w:space="0" w:color="C0C0C0"/>
              <w:bottom w:val="single" w:sz="4" w:space="0" w:color="C0C0C0"/>
            </w:tcBorders>
            <w:shd w:val="clear" w:color="auto" w:fill="FFFFFF" w:themeFill="background1"/>
          </w:tcPr>
          <w:p w:rsidR="000B0964" w:rsidRPr="00912BB3" w:rsidRDefault="008D165B" w:rsidP="00E8461B">
            <w:pPr>
              <w:rPr>
                <w:rFonts w:cs="Arial"/>
                <w:i/>
                <w:szCs w:val="20"/>
              </w:rPr>
            </w:pPr>
            <w:r w:rsidRPr="00912BB3">
              <w:rPr>
                <w:rFonts w:cs="Arial"/>
                <w:i/>
                <w:szCs w:val="20"/>
              </w:rPr>
              <w:t xml:space="preserve">Provide items of evidence appropriate to the criteria for the </w:t>
            </w:r>
            <w:r w:rsidR="00E5070D" w:rsidRPr="00E5070D">
              <w:rPr>
                <w:rFonts w:cs="Arial"/>
                <w:i/>
                <w:szCs w:val="20"/>
              </w:rPr>
              <w:t>capstone experience</w:t>
            </w:r>
            <w:r w:rsidRPr="00912BB3">
              <w:rPr>
                <w:rFonts w:cs="Arial"/>
                <w:i/>
                <w:szCs w:val="20"/>
              </w:rPr>
              <w:t xml:space="preserve">, the </w:t>
            </w:r>
            <w:r w:rsidR="00E5070D">
              <w:rPr>
                <w:rFonts w:cs="Arial"/>
                <w:i/>
                <w:szCs w:val="20"/>
              </w:rPr>
              <w:t xml:space="preserve">experience </w:t>
            </w:r>
            <w:r w:rsidRPr="00912BB3">
              <w:rPr>
                <w:rFonts w:cs="Arial"/>
                <w:i/>
                <w:szCs w:val="20"/>
              </w:rPr>
              <w:t>must be at least 30 credits</w:t>
            </w:r>
            <w:r w:rsidR="00042ECB" w:rsidRPr="00912BB3">
              <w:rPr>
                <w:rFonts w:cs="Arial"/>
                <w:i/>
                <w:szCs w:val="20"/>
              </w:rPr>
              <w:t xml:space="preserve"> </w:t>
            </w:r>
            <w:r w:rsidRPr="00912BB3">
              <w:rPr>
                <w:rFonts w:cs="Arial"/>
                <w:i/>
                <w:szCs w:val="20"/>
              </w:rPr>
              <w:t xml:space="preserve">cite the module code(s) for the </w:t>
            </w:r>
            <w:r w:rsidR="00E5070D" w:rsidRPr="00912BB3">
              <w:rPr>
                <w:i/>
              </w:rPr>
              <w:t>capstone experience</w:t>
            </w:r>
            <w:r w:rsidR="00B22B23" w:rsidRPr="00912BB3">
              <w:rPr>
                <w:rFonts w:cs="Arial"/>
                <w:i/>
                <w:szCs w:val="20"/>
              </w:rPr>
              <w:t xml:space="preserve">. </w:t>
            </w:r>
            <w:r w:rsidR="00B22B23" w:rsidRPr="00912BB3">
              <w:rPr>
                <w:i/>
              </w:rPr>
              <w:t>The Society requir</w:t>
            </w:r>
            <w:r w:rsidR="00246031" w:rsidRPr="00912BB3">
              <w:rPr>
                <w:i/>
              </w:rPr>
              <w:t>es that the capstone experience</w:t>
            </w:r>
            <w:r w:rsidR="00B22B23" w:rsidRPr="00912BB3">
              <w:rPr>
                <w:i/>
              </w:rPr>
              <w:t xml:space="preserve"> must be passed for students to achieve an accredited</w:t>
            </w:r>
            <w:r w:rsidR="00246031" w:rsidRPr="00912BB3">
              <w:rPr>
                <w:i/>
              </w:rPr>
              <w:t xml:space="preserve"> </w:t>
            </w:r>
            <w:proofErr w:type="spellStart"/>
            <w:r w:rsidR="00B22B23" w:rsidRPr="00912BB3">
              <w:rPr>
                <w:i/>
              </w:rPr>
              <w:t>honours</w:t>
            </w:r>
            <w:proofErr w:type="spellEnd"/>
            <w:r w:rsidR="00B22B23" w:rsidRPr="00912BB3">
              <w:rPr>
                <w:i/>
              </w:rPr>
              <w:t xml:space="preserve"> degree, please provide evidence of the appropriate degree regulation</w:t>
            </w:r>
          </w:p>
        </w:tc>
      </w:tr>
      <w:tr w:rsidR="000B0964" w:rsidRPr="00912BB3">
        <w:trPr>
          <w:trHeight w:val="772"/>
        </w:trPr>
        <w:tc>
          <w:tcPr>
            <w:tcW w:w="4883" w:type="dxa"/>
            <w:tcBorders>
              <w:top w:val="single" w:sz="4" w:space="0" w:color="C0C0C0"/>
              <w:bottom w:val="single" w:sz="4" w:space="0" w:color="C0C0C0"/>
              <w:right w:val="single" w:sz="4" w:space="0" w:color="C0C0C0"/>
            </w:tcBorders>
            <w:shd w:val="clear" w:color="auto" w:fill="E6E6E6"/>
          </w:tcPr>
          <w:p w:rsidR="00E8461B" w:rsidRPr="00E8461B" w:rsidRDefault="00E8461B" w:rsidP="00B2668A">
            <w:pPr>
              <w:pStyle w:val="ListParagraph"/>
              <w:numPr>
                <w:ilvl w:val="0"/>
                <w:numId w:val="4"/>
              </w:numPr>
              <w:spacing w:after="200" w:line="276" w:lineRule="auto"/>
              <w:rPr>
                <w:rFonts w:eastAsia="Calibri" w:cs="Arial"/>
                <w:szCs w:val="20"/>
              </w:rPr>
            </w:pPr>
          </w:p>
          <w:p w:rsidR="000B0964" w:rsidRPr="00E8461B" w:rsidRDefault="00E8461B" w:rsidP="00B2668A">
            <w:pPr>
              <w:pStyle w:val="ListParagraph"/>
              <w:numPr>
                <w:ilvl w:val="0"/>
                <w:numId w:val="5"/>
              </w:numPr>
              <w:spacing w:after="200" w:line="276" w:lineRule="auto"/>
              <w:rPr>
                <w:rFonts w:eastAsia="Calibri" w:cs="Arial"/>
                <w:sz w:val="20"/>
                <w:szCs w:val="20"/>
              </w:rPr>
            </w:pPr>
            <w:r w:rsidRPr="00E8461B">
              <w:rPr>
                <w:rFonts w:eastAsia="Calibri" w:cs="Arial"/>
                <w:sz w:val="20"/>
                <w:szCs w:val="20"/>
              </w:rPr>
              <w:t>The capstone experience will be an extended piece of enquiry-based work, relevant to the degree, with a justified approach that effectively communicates its outcomes</w:t>
            </w:r>
          </w:p>
        </w:tc>
        <w:tc>
          <w:tcPr>
            <w:tcW w:w="8067" w:type="dxa"/>
            <w:tcBorders>
              <w:top w:val="single" w:sz="4" w:space="0" w:color="C0C0C0"/>
              <w:left w:val="single" w:sz="4" w:space="0" w:color="C0C0C0"/>
              <w:bottom w:val="single" w:sz="4" w:space="0" w:color="C0C0C0"/>
            </w:tcBorders>
          </w:tcPr>
          <w:p w:rsidR="000B0964" w:rsidRPr="00912BB3" w:rsidRDefault="000B0964" w:rsidP="000B0964">
            <w:pPr>
              <w:rPr>
                <w:rFonts w:cs="Arial"/>
                <w:i/>
                <w:szCs w:val="20"/>
              </w:rPr>
            </w:pPr>
          </w:p>
        </w:tc>
      </w:tr>
      <w:tr w:rsidR="000B0964"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3E7962" w:rsidRPr="00912BB3" w:rsidRDefault="00E8461B" w:rsidP="00E8461B">
            <w:pPr>
              <w:spacing w:after="200" w:line="276" w:lineRule="auto"/>
              <w:ind w:left="720"/>
              <w:contextualSpacing/>
              <w:rPr>
                <w:rFonts w:eastAsia="Calibri" w:cs="Arial"/>
                <w:szCs w:val="20"/>
                <w:lang w:val="en-GB"/>
              </w:rPr>
            </w:pPr>
            <w:r w:rsidRPr="00E8461B">
              <w:rPr>
                <w:rFonts w:eastAsia="Calibri" w:cs="Arial"/>
                <w:szCs w:val="20"/>
                <w:lang w:val="en-GB"/>
              </w:rPr>
              <w:lastRenderedPageBreak/>
              <w:t>b.</w:t>
            </w:r>
            <w:r w:rsidRPr="00E8461B">
              <w:rPr>
                <w:rFonts w:eastAsia="Calibri" w:cs="Arial"/>
                <w:szCs w:val="20"/>
                <w:lang w:val="en-GB"/>
              </w:rPr>
              <w:tab/>
              <w:t>The capstone experience will be underpinned by a range of relevant sources, and will show recognition of health and safety, environmental and ethical considerations</w:t>
            </w:r>
          </w:p>
        </w:tc>
        <w:tc>
          <w:tcPr>
            <w:tcW w:w="8067" w:type="dxa"/>
            <w:tcBorders>
              <w:top w:val="single" w:sz="4" w:space="0" w:color="C0C0C0"/>
              <w:left w:val="single" w:sz="4" w:space="0" w:color="C0C0C0"/>
              <w:bottom w:val="single" w:sz="4" w:space="0" w:color="C0C0C0"/>
            </w:tcBorders>
          </w:tcPr>
          <w:p w:rsidR="000B0964" w:rsidRPr="00912BB3" w:rsidRDefault="000B0964" w:rsidP="00E8461B">
            <w:pPr>
              <w:rPr>
                <w:rFonts w:cs="Arial"/>
                <w:i/>
                <w:szCs w:val="20"/>
              </w:rPr>
            </w:pPr>
          </w:p>
        </w:tc>
      </w:tr>
      <w:tr w:rsidR="000B0964"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912BB3" w:rsidRDefault="00E8461B" w:rsidP="00E8461B">
            <w:pPr>
              <w:spacing w:after="60"/>
              <w:ind w:left="720"/>
              <w:rPr>
                <w:rFonts w:cs="Arial"/>
                <w:iCs/>
                <w:szCs w:val="20"/>
              </w:rPr>
            </w:pPr>
            <w:r w:rsidRPr="00E8461B">
              <w:rPr>
                <w:rFonts w:cs="Arial"/>
                <w:iCs/>
                <w:szCs w:val="20"/>
              </w:rPr>
              <w:t>c.</w:t>
            </w:r>
            <w:r w:rsidRPr="00E8461B">
              <w:rPr>
                <w:rFonts w:cs="Arial"/>
                <w:iCs/>
                <w:szCs w:val="20"/>
              </w:rPr>
              <w:tab/>
              <w:t xml:space="preserve">The capstone experience will be </w:t>
            </w:r>
            <w:proofErr w:type="spellStart"/>
            <w:r w:rsidRPr="00E8461B">
              <w:rPr>
                <w:rFonts w:cs="Arial"/>
                <w:iCs/>
                <w:szCs w:val="20"/>
              </w:rPr>
              <w:t>contextualised</w:t>
            </w:r>
            <w:proofErr w:type="spellEnd"/>
            <w:r w:rsidRPr="00E8461B">
              <w:rPr>
                <w:rFonts w:cs="Arial"/>
                <w:iCs/>
                <w:szCs w:val="20"/>
              </w:rPr>
              <w:t>, and show recognition of the provisional nature of knowledge, building to an appropriate conclusion</w:t>
            </w:r>
          </w:p>
        </w:tc>
        <w:tc>
          <w:tcPr>
            <w:tcW w:w="8067" w:type="dxa"/>
            <w:tcBorders>
              <w:top w:val="single" w:sz="4" w:space="0" w:color="C0C0C0"/>
              <w:left w:val="single" w:sz="4" w:space="0" w:color="C0C0C0"/>
              <w:bottom w:val="single" w:sz="4" w:space="0" w:color="C0C0C0"/>
            </w:tcBorders>
          </w:tcPr>
          <w:p w:rsidR="000B0964" w:rsidRPr="00912BB3" w:rsidRDefault="000B0964" w:rsidP="00C64203">
            <w:pPr>
              <w:rPr>
                <w:rFonts w:cs="Arial"/>
                <w:i/>
                <w:szCs w:val="20"/>
              </w:rPr>
            </w:pPr>
          </w:p>
        </w:tc>
      </w:tr>
      <w:tr w:rsidR="000B0964"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912BB3" w:rsidRDefault="00E8461B" w:rsidP="00E8461B">
            <w:pPr>
              <w:spacing w:after="60"/>
              <w:ind w:left="720"/>
              <w:rPr>
                <w:rFonts w:cs="Arial"/>
                <w:i/>
                <w:iCs/>
                <w:szCs w:val="20"/>
              </w:rPr>
            </w:pPr>
            <w:r w:rsidRPr="00E8461B">
              <w:rPr>
                <w:rFonts w:cs="Arial"/>
                <w:iCs/>
                <w:szCs w:val="20"/>
              </w:rPr>
              <w:t>d.</w:t>
            </w:r>
            <w:r w:rsidRPr="00E8461B">
              <w:rPr>
                <w:rFonts w:cs="Arial"/>
                <w:iCs/>
                <w:szCs w:val="20"/>
              </w:rPr>
              <w:tab/>
              <w:t>The capstone experience will be based on the processes of critical thinking, synthesis, reflection and evaluation</w:t>
            </w:r>
          </w:p>
        </w:tc>
        <w:tc>
          <w:tcPr>
            <w:tcW w:w="8067" w:type="dxa"/>
            <w:tcBorders>
              <w:top w:val="single" w:sz="4" w:space="0" w:color="C0C0C0"/>
              <w:left w:val="single" w:sz="4" w:space="0" w:color="C0C0C0"/>
              <w:bottom w:val="single" w:sz="4" w:space="0" w:color="C0C0C0"/>
            </w:tcBorders>
          </w:tcPr>
          <w:p w:rsidR="000B0964" w:rsidRPr="00912BB3" w:rsidRDefault="000B0964" w:rsidP="000B0964">
            <w:pPr>
              <w:rPr>
                <w:rFonts w:cs="Arial"/>
                <w:i/>
                <w:szCs w:val="20"/>
              </w:rPr>
            </w:pPr>
          </w:p>
        </w:tc>
      </w:tr>
      <w:tr w:rsidR="000B0964" w:rsidRPr="00912BB3">
        <w:trPr>
          <w:trHeight w:val="291"/>
        </w:trPr>
        <w:tc>
          <w:tcPr>
            <w:tcW w:w="12950" w:type="dxa"/>
            <w:gridSpan w:val="2"/>
            <w:tcBorders>
              <w:top w:val="single" w:sz="4" w:space="0" w:color="C0C0C0"/>
              <w:bottom w:val="single" w:sz="4" w:space="0" w:color="C0C0C0"/>
            </w:tcBorders>
            <w:shd w:val="clear" w:color="auto" w:fill="E6E6E6"/>
          </w:tcPr>
          <w:p w:rsidR="000B0964" w:rsidRPr="00912BB3" w:rsidRDefault="000B0964" w:rsidP="000B0964">
            <w:pPr>
              <w:rPr>
                <w:rFonts w:cs="Arial"/>
                <w:szCs w:val="20"/>
              </w:rPr>
            </w:pPr>
          </w:p>
          <w:p w:rsidR="000B0964" w:rsidRPr="00912BB3" w:rsidRDefault="000B0964" w:rsidP="00B2668A">
            <w:pPr>
              <w:numPr>
                <w:ilvl w:val="0"/>
                <w:numId w:val="2"/>
              </w:numPr>
              <w:contextualSpacing/>
              <w:rPr>
                <w:rFonts w:eastAsiaTheme="minorHAnsi" w:cs="Arial"/>
                <w:szCs w:val="20"/>
                <w:lang w:val="en-GB"/>
              </w:rPr>
            </w:pPr>
            <w:r w:rsidRPr="00912BB3">
              <w:rPr>
                <w:rFonts w:eastAsiaTheme="minorHAnsi" w:cs="Arial"/>
                <w:szCs w:val="20"/>
                <w:lang w:val="en-GB"/>
              </w:rPr>
              <w:t>Demonstration of the acquisition of technical skills and familiarity with the practical environment. There will be evidence of:</w:t>
            </w:r>
          </w:p>
          <w:p w:rsidR="000B0964" w:rsidRPr="00912BB3" w:rsidRDefault="000B0964" w:rsidP="000B0964">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71C28" w:rsidRDefault="00B2668A" w:rsidP="00B2668A">
            <w:pPr>
              <w:numPr>
                <w:ilvl w:val="0"/>
                <w:numId w:val="6"/>
              </w:numPr>
              <w:spacing w:after="60"/>
              <w:rPr>
                <w:rFonts w:cs="Arial"/>
                <w:iCs/>
                <w:szCs w:val="20"/>
              </w:rPr>
            </w:pPr>
            <w:r w:rsidRPr="00387953">
              <w:rPr>
                <w:rFonts w:cs="Arial"/>
                <w:iCs/>
                <w:szCs w:val="20"/>
              </w:rPr>
              <w:t>Students learn in a hands-on, practical environment, and are trained in the technical skills appropriate to their main subject interest</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676"/>
        </w:trPr>
        <w:tc>
          <w:tcPr>
            <w:tcW w:w="4883" w:type="dxa"/>
            <w:tcBorders>
              <w:top w:val="single" w:sz="4" w:space="0" w:color="C0C0C0"/>
              <w:bottom w:val="single" w:sz="4" w:space="0" w:color="C0C0C0"/>
              <w:right w:val="single" w:sz="4" w:space="0" w:color="C0C0C0"/>
            </w:tcBorders>
            <w:shd w:val="clear" w:color="auto" w:fill="E6E6E6"/>
          </w:tcPr>
          <w:p w:rsidR="00B2668A" w:rsidRPr="00271C28" w:rsidRDefault="00B2668A" w:rsidP="00B2668A">
            <w:pPr>
              <w:numPr>
                <w:ilvl w:val="0"/>
                <w:numId w:val="6"/>
              </w:numPr>
              <w:spacing w:after="200" w:line="276" w:lineRule="auto"/>
              <w:contextualSpacing/>
              <w:rPr>
                <w:rFonts w:eastAsia="Calibri" w:cs="Arial"/>
                <w:szCs w:val="20"/>
              </w:rPr>
            </w:pPr>
            <w:r w:rsidRPr="00387953">
              <w:rPr>
                <w:rFonts w:eastAsia="Calibri" w:cs="Arial"/>
                <w:szCs w:val="20"/>
              </w:rPr>
              <w:t>Skill acquisition is demonstrably a progressive process</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71C28" w:rsidRDefault="00B2668A" w:rsidP="00B2668A">
            <w:pPr>
              <w:numPr>
                <w:ilvl w:val="0"/>
                <w:numId w:val="6"/>
              </w:numPr>
              <w:spacing w:after="60"/>
              <w:rPr>
                <w:rFonts w:cs="Arial"/>
                <w:iCs/>
                <w:szCs w:val="20"/>
              </w:rPr>
            </w:pPr>
            <w:r w:rsidRPr="00387953">
              <w:rPr>
                <w:rFonts w:cs="Arial"/>
                <w:iCs/>
                <w:szCs w:val="20"/>
              </w:rPr>
              <w:t>There is a list of the core, assessed, technical skills used in the laboratory, field or other setting which form the foundation for the degree(s)</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71C28" w:rsidRDefault="00B2668A" w:rsidP="00B2668A">
            <w:pPr>
              <w:numPr>
                <w:ilvl w:val="0"/>
                <w:numId w:val="6"/>
              </w:numPr>
              <w:spacing w:after="60"/>
              <w:rPr>
                <w:rFonts w:cs="Arial"/>
                <w:iCs/>
                <w:szCs w:val="20"/>
              </w:rPr>
            </w:pPr>
            <w:r w:rsidRPr="00387953">
              <w:rPr>
                <w:rFonts w:cs="Arial"/>
                <w:iCs/>
                <w:szCs w:val="20"/>
              </w:rPr>
              <w:t xml:space="preserve">There is competency in the core technical skills for all students on the </w:t>
            </w:r>
            <w:proofErr w:type="spellStart"/>
            <w:r w:rsidRPr="00387953">
              <w:rPr>
                <w:rFonts w:cs="Arial"/>
                <w:iCs/>
                <w:szCs w:val="20"/>
              </w:rPr>
              <w:t>programme</w:t>
            </w:r>
            <w:proofErr w:type="spellEnd"/>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numPr>
                <w:ilvl w:val="0"/>
                <w:numId w:val="6"/>
              </w:numPr>
              <w:spacing w:after="60"/>
              <w:rPr>
                <w:rFonts w:cs="Arial"/>
                <w:iCs/>
                <w:szCs w:val="20"/>
              </w:rPr>
            </w:pPr>
            <w:r w:rsidRPr="00387953">
              <w:rPr>
                <w:rFonts w:cs="Arial"/>
                <w:iCs/>
                <w:szCs w:val="20"/>
              </w:rPr>
              <w:t>Training in research study design and the principles of data management, such as Good Laboratory Practice</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6"/>
              </w:numPr>
              <w:rPr>
                <w:rFonts w:eastAsia="Times New Roman" w:cs="Arial"/>
                <w:iCs/>
                <w:sz w:val="20"/>
                <w:szCs w:val="20"/>
              </w:rPr>
            </w:pPr>
            <w:r w:rsidRPr="00387953">
              <w:rPr>
                <w:rFonts w:eastAsia="Times New Roman" w:cs="Arial"/>
                <w:iCs/>
                <w:sz w:val="20"/>
                <w:szCs w:val="20"/>
              </w:rPr>
              <w:lastRenderedPageBreak/>
              <w:t>Students will appreciate the concept of ‘Big Data’ and its importance in understanding the living world</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12950" w:type="dxa"/>
            <w:gridSpan w:val="2"/>
            <w:tcBorders>
              <w:top w:val="single" w:sz="4" w:space="0" w:color="C0C0C0"/>
              <w:bottom w:val="single" w:sz="4" w:space="0" w:color="C0C0C0"/>
            </w:tcBorders>
            <w:shd w:val="clear" w:color="auto" w:fill="E6E6E6"/>
          </w:tcPr>
          <w:p w:rsidR="00B2668A" w:rsidRPr="00912BB3" w:rsidRDefault="00B2668A" w:rsidP="00B2668A">
            <w:pPr>
              <w:ind w:left="360"/>
              <w:contextualSpacing/>
              <w:rPr>
                <w:rFonts w:eastAsiaTheme="minorHAnsi" w:cs="Arial"/>
                <w:szCs w:val="20"/>
                <w:lang w:val="en-GB"/>
              </w:rPr>
            </w:pPr>
          </w:p>
          <w:p w:rsidR="00B2668A" w:rsidRPr="00912BB3" w:rsidRDefault="00B2668A" w:rsidP="00B2668A">
            <w:pPr>
              <w:numPr>
                <w:ilvl w:val="0"/>
                <w:numId w:val="2"/>
              </w:numPr>
              <w:contextualSpacing/>
              <w:rPr>
                <w:rFonts w:eastAsiaTheme="minorHAnsi" w:cs="Arial"/>
                <w:szCs w:val="20"/>
                <w:lang w:val="en-GB"/>
              </w:rPr>
            </w:pPr>
            <w:r w:rsidRPr="00912BB3">
              <w:rPr>
                <w:rFonts w:eastAsiaTheme="minorHAnsi" w:cs="Arial"/>
                <w:szCs w:val="20"/>
                <w:lang w:val="en-GB"/>
              </w:rPr>
              <w:t>The development and use of transferable graduate skills</w:t>
            </w:r>
          </w:p>
          <w:p w:rsidR="00B2668A" w:rsidRPr="00912BB3" w:rsidRDefault="00B2668A" w:rsidP="00B2668A">
            <w:pPr>
              <w:ind w:left="360"/>
              <w:contextualSpacing/>
              <w:rPr>
                <w:rFonts w:eastAsiaTheme="minorHAnsi" w:cs="Arial"/>
                <w:szCs w:val="20"/>
                <w:lang w:val="en-GB"/>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Graduates will have the basic skills of word processing, use of spreadsheets, and presentation software</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200" w:line="276" w:lineRule="auto"/>
              <w:rPr>
                <w:rFonts w:eastAsia="Calibri" w:cs="Arial"/>
                <w:sz w:val="20"/>
                <w:szCs w:val="20"/>
              </w:rPr>
            </w:pPr>
            <w:r w:rsidRPr="00387953">
              <w:rPr>
                <w:rFonts w:eastAsia="Calibri" w:cs="Arial"/>
                <w:sz w:val="20"/>
                <w:szCs w:val="20"/>
              </w:rPr>
              <w:t>Graduates will be able to find, cite and use appropriate information</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 xml:space="preserve">That students will consider and approach a wide range of problems and problem types critically, confidently and independently  </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Students will communicate through both oral and written approaches, and to a range of audiences</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 xml:space="preserve">Graduates will be experienced in teamwork approaches, including the concepts of leadership; the recognition of individual contributions; and the significance of group dynamics to effective </w:t>
            </w:r>
            <w:proofErr w:type="spellStart"/>
            <w:r w:rsidRPr="00387953">
              <w:rPr>
                <w:rFonts w:cs="Arial"/>
                <w:iCs/>
                <w:sz w:val="20"/>
                <w:szCs w:val="20"/>
              </w:rPr>
              <w:t>teamworking</w:t>
            </w:r>
            <w:proofErr w:type="spellEnd"/>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There will be acquisition of general management skills including project management</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7"/>
              </w:numPr>
              <w:spacing w:after="60"/>
              <w:rPr>
                <w:rFonts w:cs="Arial"/>
                <w:iCs/>
                <w:sz w:val="20"/>
                <w:szCs w:val="20"/>
              </w:rPr>
            </w:pPr>
            <w:r w:rsidRPr="00387953">
              <w:rPr>
                <w:rFonts w:cs="Arial"/>
                <w:iCs/>
                <w:sz w:val="20"/>
                <w:szCs w:val="20"/>
              </w:rPr>
              <w:t>Regulatory and ethical issues, including environmental and social aspects, are considered and addressed by students at appropriate times throughout their programme of study</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12950" w:type="dxa"/>
            <w:gridSpan w:val="2"/>
            <w:tcBorders>
              <w:top w:val="single" w:sz="4" w:space="0" w:color="C0C0C0"/>
              <w:bottom w:val="single" w:sz="4" w:space="0" w:color="C0C0C0"/>
            </w:tcBorders>
            <w:shd w:val="clear" w:color="auto" w:fill="E6E6E6"/>
          </w:tcPr>
          <w:p w:rsidR="00B2668A" w:rsidRPr="00912BB3" w:rsidRDefault="00B2668A" w:rsidP="00B2668A">
            <w:pPr>
              <w:rPr>
                <w:rFonts w:cs="Arial"/>
                <w:sz w:val="16"/>
                <w:szCs w:val="20"/>
              </w:rPr>
            </w:pPr>
          </w:p>
          <w:p w:rsidR="00B2668A" w:rsidRPr="00912BB3" w:rsidRDefault="00B2668A" w:rsidP="00B2668A">
            <w:pPr>
              <w:pStyle w:val="ListParagraph"/>
              <w:numPr>
                <w:ilvl w:val="0"/>
                <w:numId w:val="2"/>
              </w:numPr>
              <w:rPr>
                <w:rFonts w:cs="Arial"/>
                <w:sz w:val="20"/>
                <w:szCs w:val="20"/>
              </w:rPr>
            </w:pPr>
            <w:r w:rsidRPr="00912BB3">
              <w:rPr>
                <w:rFonts w:cs="Arial"/>
                <w:sz w:val="20"/>
                <w:szCs w:val="20"/>
              </w:rPr>
              <w:t>Foundation in mathematics, statistics, chemistry and physics within a biological context appropriate to the discipline</w:t>
            </w:r>
          </w:p>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8"/>
              </w:numPr>
              <w:spacing w:after="60"/>
              <w:rPr>
                <w:rFonts w:cs="Arial"/>
                <w:iCs/>
                <w:sz w:val="20"/>
                <w:szCs w:val="20"/>
              </w:rPr>
            </w:pPr>
            <w:r w:rsidRPr="00387953">
              <w:rPr>
                <w:rFonts w:cs="Arial"/>
                <w:iCs/>
                <w:sz w:val="20"/>
                <w:szCs w:val="20"/>
              </w:rPr>
              <w:lastRenderedPageBreak/>
              <w:t>The coverage of chemistry and physics is of sufficient depth and breadth to provide the necessary knowledge and understanding for students to appreciate and apply these subjects within a biological context</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8"/>
              </w:numPr>
              <w:spacing w:after="60"/>
              <w:rPr>
                <w:rFonts w:cs="Arial"/>
                <w:iCs/>
                <w:sz w:val="20"/>
                <w:szCs w:val="20"/>
              </w:rPr>
            </w:pPr>
            <w:r w:rsidRPr="00387953">
              <w:rPr>
                <w:rFonts w:cs="Arial"/>
                <w:iCs/>
                <w:sz w:val="20"/>
                <w:szCs w:val="20"/>
              </w:rPr>
              <w:t>The knowledge and appreciation of mathematical principles is sufficient to support the understanding and application of key biological concepts, and underpin problem solving at the theoretical and practical levels</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387953" w:rsidRDefault="00B2668A" w:rsidP="00B2668A">
            <w:pPr>
              <w:pStyle w:val="ListParagraph"/>
              <w:numPr>
                <w:ilvl w:val="0"/>
                <w:numId w:val="8"/>
              </w:numPr>
              <w:spacing w:after="60"/>
              <w:rPr>
                <w:rFonts w:cs="Arial"/>
                <w:iCs/>
                <w:sz w:val="20"/>
                <w:szCs w:val="20"/>
              </w:rPr>
            </w:pPr>
            <w:r w:rsidRPr="00387953">
              <w:rPr>
                <w:rFonts w:cs="Arial"/>
                <w:iCs/>
                <w:sz w:val="20"/>
                <w:szCs w:val="20"/>
              </w:rPr>
              <w:t>Graduates will be equipped with the appropriate knowledge and skills needed to handle variation in data at different levels of complexity</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12950" w:type="dxa"/>
            <w:gridSpan w:val="2"/>
            <w:tcBorders>
              <w:top w:val="single" w:sz="4" w:space="0" w:color="C0C0C0"/>
              <w:bottom w:val="single" w:sz="4" w:space="0" w:color="C0C0C0"/>
            </w:tcBorders>
            <w:shd w:val="clear" w:color="auto" w:fill="E6E6E6"/>
          </w:tcPr>
          <w:p w:rsidR="00B2668A" w:rsidRPr="00912BB3" w:rsidRDefault="00B2668A" w:rsidP="00B2668A">
            <w:pPr>
              <w:rPr>
                <w:rFonts w:cs="Arial"/>
                <w:szCs w:val="20"/>
              </w:rPr>
            </w:pPr>
          </w:p>
          <w:p w:rsidR="00B2668A" w:rsidRPr="00912BB3" w:rsidRDefault="00B2668A" w:rsidP="00B2668A">
            <w:pPr>
              <w:pStyle w:val="ListParagraph"/>
              <w:numPr>
                <w:ilvl w:val="0"/>
                <w:numId w:val="2"/>
              </w:numPr>
              <w:rPr>
                <w:rFonts w:cs="Arial"/>
                <w:sz w:val="20"/>
                <w:szCs w:val="20"/>
              </w:rPr>
            </w:pPr>
            <w:r w:rsidRPr="00912BB3">
              <w:rPr>
                <w:rFonts w:cs="Arial"/>
                <w:sz w:val="20"/>
                <w:szCs w:val="20"/>
              </w:rPr>
              <w:t>Specific skills and knowledge appropriate to the degree title</w:t>
            </w:r>
          </w:p>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0501D" w:rsidRDefault="00B2668A" w:rsidP="00B2668A">
            <w:pPr>
              <w:pStyle w:val="ListParagraph"/>
              <w:numPr>
                <w:ilvl w:val="0"/>
                <w:numId w:val="9"/>
              </w:numPr>
              <w:spacing w:after="60"/>
              <w:rPr>
                <w:rFonts w:cs="Arial"/>
                <w:iCs/>
                <w:sz w:val="20"/>
                <w:szCs w:val="20"/>
              </w:rPr>
            </w:pPr>
            <w:r w:rsidRPr="0020501D">
              <w:rPr>
                <w:rFonts w:cs="Arial"/>
                <w:iCs/>
                <w:sz w:val="20"/>
                <w:szCs w:val="20"/>
              </w:rPr>
              <w:t>Bioscience graduates will have knowledge of the fundamentals of biology, including: an overview of biodiversity and the biological environment; molecular, cell and whole organism biology; biochemistry, genetics, and the concept of evolution</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0501D" w:rsidRDefault="00B2668A" w:rsidP="00B2668A">
            <w:pPr>
              <w:pStyle w:val="ListParagraph"/>
              <w:numPr>
                <w:ilvl w:val="0"/>
                <w:numId w:val="9"/>
              </w:numPr>
              <w:spacing w:after="60"/>
              <w:rPr>
                <w:rFonts w:cs="Arial"/>
                <w:iCs/>
                <w:sz w:val="20"/>
                <w:szCs w:val="20"/>
              </w:rPr>
            </w:pPr>
            <w:r w:rsidRPr="0020501D">
              <w:rPr>
                <w:rFonts w:cs="Arial"/>
                <w:iCs/>
                <w:sz w:val="20"/>
                <w:szCs w:val="20"/>
              </w:rPr>
              <w:t>Degrees adhere to the relevant recommendations within the QAA Subject Benchmark Statements for Biosciences and/or Biomedical Sciences, with reference to other Benchmark Statements as appropriate</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20501D" w:rsidRDefault="00B2668A" w:rsidP="00B2668A">
            <w:pPr>
              <w:pStyle w:val="ListParagraph"/>
              <w:numPr>
                <w:ilvl w:val="0"/>
                <w:numId w:val="9"/>
              </w:numPr>
              <w:spacing w:after="60"/>
              <w:rPr>
                <w:rFonts w:cs="Arial"/>
                <w:iCs/>
                <w:sz w:val="20"/>
                <w:szCs w:val="20"/>
              </w:rPr>
            </w:pPr>
            <w:r w:rsidRPr="0020501D">
              <w:rPr>
                <w:rFonts w:cs="Arial"/>
                <w:iCs/>
                <w:sz w:val="20"/>
                <w:szCs w:val="20"/>
              </w:rPr>
              <w:lastRenderedPageBreak/>
              <w:t>Specialist degrees meet the subject-specific requirements of the relevant Learned Societies as listed in Appendix B</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r w:rsidRPr="00912BB3">
              <w:rPr>
                <w:rFonts w:cs="Arial"/>
                <w:i/>
                <w:szCs w:val="20"/>
              </w:rPr>
              <w:t xml:space="preserve"> </w:t>
            </w:r>
          </w:p>
          <w:p w:rsidR="00B2668A" w:rsidRPr="00912BB3" w:rsidRDefault="00B2668A" w:rsidP="00B2668A">
            <w:pPr>
              <w:rPr>
                <w:rFonts w:cs="Arial"/>
                <w:i/>
                <w:szCs w:val="20"/>
              </w:rPr>
            </w:pPr>
          </w:p>
        </w:tc>
      </w:tr>
      <w:tr w:rsidR="00B2668A" w:rsidRPr="00912BB3">
        <w:trPr>
          <w:trHeight w:val="291"/>
        </w:trPr>
        <w:tc>
          <w:tcPr>
            <w:tcW w:w="12950" w:type="dxa"/>
            <w:gridSpan w:val="2"/>
            <w:tcBorders>
              <w:top w:val="single" w:sz="4" w:space="0" w:color="C0C0C0"/>
              <w:bottom w:val="single" w:sz="4" w:space="0" w:color="C0C0C0"/>
            </w:tcBorders>
            <w:shd w:val="clear" w:color="auto" w:fill="E6E6E6"/>
          </w:tcPr>
          <w:p w:rsidR="00B2668A" w:rsidRPr="00912BB3" w:rsidRDefault="00B2668A" w:rsidP="00B2668A">
            <w:pPr>
              <w:rPr>
                <w:rFonts w:cs="Arial"/>
                <w:szCs w:val="20"/>
                <w:lang w:val="en-GB"/>
              </w:rPr>
            </w:pPr>
          </w:p>
          <w:p w:rsidR="00B2668A" w:rsidRPr="00912BB3" w:rsidRDefault="00B2668A" w:rsidP="00B2668A">
            <w:pPr>
              <w:pStyle w:val="ListParagraph"/>
              <w:numPr>
                <w:ilvl w:val="0"/>
                <w:numId w:val="2"/>
              </w:numPr>
              <w:rPr>
                <w:rFonts w:cs="Arial"/>
                <w:sz w:val="20"/>
                <w:szCs w:val="20"/>
              </w:rPr>
            </w:pPr>
            <w:r w:rsidRPr="00912BB3">
              <w:rPr>
                <w:rFonts w:cs="Arial"/>
                <w:sz w:val="20"/>
                <w:szCs w:val="20"/>
              </w:rPr>
              <w:t>Developing Creativity and Innovation</w:t>
            </w:r>
          </w:p>
          <w:p w:rsidR="00B2668A" w:rsidRPr="00912BB3" w:rsidRDefault="00B2668A" w:rsidP="00B2668A">
            <w:pPr>
              <w:rPr>
                <w:rFonts w:cs="Arial"/>
                <w:szCs w:val="20"/>
              </w:rPr>
            </w:pPr>
          </w:p>
        </w:tc>
      </w:tr>
      <w:tr w:rsidR="00B2668A" w:rsidRPr="00912BB3">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B2668A" w:rsidRDefault="00AD1E70" w:rsidP="00B2668A">
            <w:pPr>
              <w:spacing w:after="60"/>
              <w:ind w:left="720"/>
              <w:rPr>
                <w:rFonts w:cs="Arial"/>
                <w:iCs/>
                <w:szCs w:val="20"/>
              </w:rPr>
            </w:pPr>
            <w:proofErr w:type="spellStart"/>
            <w:r>
              <w:rPr>
                <w:rFonts w:cs="Arial"/>
                <w:iCs/>
                <w:szCs w:val="20"/>
              </w:rPr>
              <w:t>i</w:t>
            </w:r>
            <w:proofErr w:type="spellEnd"/>
            <w:r>
              <w:rPr>
                <w:rFonts w:cs="Arial"/>
                <w:iCs/>
                <w:szCs w:val="20"/>
              </w:rPr>
              <w:t xml:space="preserve">. </w:t>
            </w:r>
            <w:r w:rsidR="00B2668A" w:rsidRPr="00B2668A">
              <w:rPr>
                <w:rFonts w:cs="Arial"/>
                <w:iCs/>
                <w:szCs w:val="20"/>
              </w:rPr>
              <w:t xml:space="preserve">Students are taught to apply and evaluate original or unconventional ideas, and to tackle problem solving using techniques designed to develop individual and group creativity, evidenced through assessment approaches which </w:t>
            </w:r>
            <w:proofErr w:type="spellStart"/>
            <w:r w:rsidR="00B2668A" w:rsidRPr="00B2668A">
              <w:rPr>
                <w:rFonts w:cs="Arial"/>
                <w:iCs/>
                <w:szCs w:val="20"/>
              </w:rPr>
              <w:t>recognise</w:t>
            </w:r>
            <w:proofErr w:type="spellEnd"/>
            <w:r w:rsidR="00B2668A" w:rsidRPr="00B2668A">
              <w:rPr>
                <w:rFonts w:cs="Arial"/>
                <w:iCs/>
                <w:szCs w:val="20"/>
              </w:rPr>
              <w:t xml:space="preserve"> and reward such thinking</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szCs w:val="20"/>
              </w:rPr>
            </w:pPr>
          </w:p>
        </w:tc>
      </w:tr>
      <w:tr w:rsidR="00B2668A" w:rsidRPr="00912BB3" w:rsidTr="00956A61">
        <w:trPr>
          <w:trHeight w:val="291"/>
        </w:trPr>
        <w:tc>
          <w:tcPr>
            <w:tcW w:w="12950" w:type="dxa"/>
            <w:gridSpan w:val="2"/>
            <w:tcBorders>
              <w:top w:val="single" w:sz="4" w:space="0" w:color="C0C0C0"/>
              <w:bottom w:val="single" w:sz="4" w:space="0" w:color="C0C0C0"/>
            </w:tcBorders>
            <w:shd w:val="clear" w:color="auto" w:fill="E6E6E6"/>
          </w:tcPr>
          <w:p w:rsidR="00B2668A" w:rsidRPr="00AD1E70" w:rsidRDefault="00B2668A" w:rsidP="00AD1E70">
            <w:pPr>
              <w:pStyle w:val="ListParagraph"/>
              <w:numPr>
                <w:ilvl w:val="0"/>
                <w:numId w:val="12"/>
              </w:numPr>
              <w:spacing w:after="60"/>
              <w:rPr>
                <w:rFonts w:cs="Arial"/>
                <w:iCs/>
                <w:sz w:val="20"/>
                <w:szCs w:val="20"/>
              </w:rPr>
            </w:pPr>
            <w:r w:rsidRPr="00AD1E70">
              <w:rPr>
                <w:rFonts w:cs="Arial"/>
                <w:iCs/>
                <w:sz w:val="20"/>
                <w:szCs w:val="20"/>
              </w:rPr>
              <w:t xml:space="preserve">Graduates are expected to have an understanding, embedded in the teaching of their subject(s), of the following concepts </w:t>
            </w:r>
            <w:r w:rsidRPr="00AD1E70">
              <w:rPr>
                <w:rFonts w:cs="Arial"/>
                <w:b/>
                <w:iCs/>
                <w:sz w:val="20"/>
                <w:szCs w:val="20"/>
              </w:rPr>
              <w:t>(a-e)</w:t>
            </w:r>
            <w:r w:rsidRPr="00AD1E70">
              <w:rPr>
                <w:rFonts w:cs="Arial"/>
                <w:iCs/>
                <w:sz w:val="20"/>
                <w:szCs w:val="20"/>
              </w:rPr>
              <w:t>:</w:t>
            </w:r>
          </w:p>
          <w:p w:rsidR="00B2668A" w:rsidRPr="00271C28" w:rsidRDefault="00B2668A" w:rsidP="00B2668A">
            <w:pPr>
              <w:rPr>
                <w:rFonts w:cs="Arial"/>
                <w:i/>
                <w:szCs w:val="20"/>
              </w:rPr>
            </w:pPr>
          </w:p>
        </w:tc>
      </w:tr>
      <w:tr w:rsidR="00B2668A" w:rsidRPr="00912BB3" w:rsidTr="00E406F1">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D0356A" w:rsidRDefault="00B2668A" w:rsidP="00B2668A">
            <w:pPr>
              <w:pStyle w:val="ListParagraph"/>
              <w:numPr>
                <w:ilvl w:val="0"/>
                <w:numId w:val="11"/>
              </w:numPr>
              <w:spacing w:after="60"/>
              <w:rPr>
                <w:rFonts w:cs="Arial"/>
                <w:iCs/>
                <w:sz w:val="20"/>
                <w:szCs w:val="20"/>
              </w:rPr>
            </w:pPr>
            <w:r w:rsidRPr="00D0356A">
              <w:rPr>
                <w:rFonts w:cs="Arial"/>
                <w:iCs/>
                <w:sz w:val="20"/>
                <w:szCs w:val="20"/>
              </w:rPr>
              <w:t>There is a contextualised learning experience using real-world scenarios to gain better alignment with expected key employability skills</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rsidTr="00E406F1">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D0356A" w:rsidRDefault="00B2668A" w:rsidP="00B2668A">
            <w:pPr>
              <w:pStyle w:val="ListParagraph"/>
              <w:numPr>
                <w:ilvl w:val="0"/>
                <w:numId w:val="11"/>
              </w:numPr>
              <w:spacing w:after="60"/>
              <w:rPr>
                <w:rFonts w:cs="Arial"/>
                <w:iCs/>
                <w:sz w:val="20"/>
                <w:szCs w:val="20"/>
              </w:rPr>
            </w:pPr>
            <w:r w:rsidRPr="00D0356A">
              <w:rPr>
                <w:rFonts w:cs="Arial"/>
                <w:iCs/>
                <w:sz w:val="20"/>
                <w:szCs w:val="20"/>
              </w:rPr>
              <w:t>Graduates will understand the notion and value of intellectual property</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rsidTr="00E406F1">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D0356A" w:rsidRDefault="00B2668A" w:rsidP="00B2668A">
            <w:pPr>
              <w:pStyle w:val="ListParagraph"/>
              <w:numPr>
                <w:ilvl w:val="0"/>
                <w:numId w:val="11"/>
              </w:numPr>
              <w:spacing w:after="60"/>
              <w:rPr>
                <w:rFonts w:cs="Arial"/>
                <w:iCs/>
                <w:sz w:val="20"/>
                <w:szCs w:val="20"/>
              </w:rPr>
            </w:pPr>
            <w:r w:rsidRPr="00D0356A">
              <w:rPr>
                <w:rFonts w:cs="Arial"/>
                <w:iCs/>
                <w:sz w:val="20"/>
                <w:szCs w:val="20"/>
              </w:rPr>
              <w:t>Graduates will understand the importance of evaluating feasibility and impact through a reflective approach</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rsidTr="00E406F1">
        <w:trPr>
          <w:trHeight w:val="291"/>
        </w:trPr>
        <w:tc>
          <w:tcPr>
            <w:tcW w:w="4883" w:type="dxa"/>
            <w:tcBorders>
              <w:top w:val="single" w:sz="4" w:space="0" w:color="C0C0C0"/>
              <w:bottom w:val="single" w:sz="4" w:space="0" w:color="C0C0C0"/>
              <w:right w:val="single" w:sz="4" w:space="0" w:color="C0C0C0"/>
            </w:tcBorders>
            <w:shd w:val="clear" w:color="auto" w:fill="E6E6E6"/>
          </w:tcPr>
          <w:p w:rsidR="00B2668A" w:rsidRPr="00D0356A" w:rsidRDefault="00B2668A" w:rsidP="00B2668A">
            <w:pPr>
              <w:pStyle w:val="ListParagraph"/>
              <w:numPr>
                <w:ilvl w:val="0"/>
                <w:numId w:val="11"/>
              </w:numPr>
              <w:spacing w:after="60"/>
              <w:rPr>
                <w:rFonts w:cs="Arial"/>
                <w:iCs/>
                <w:sz w:val="20"/>
                <w:szCs w:val="20"/>
              </w:rPr>
            </w:pPr>
            <w:r w:rsidRPr="00D0356A">
              <w:rPr>
                <w:rFonts w:cs="Arial"/>
                <w:iCs/>
                <w:sz w:val="20"/>
                <w:szCs w:val="20"/>
              </w:rPr>
              <w:t>Graduates will understand the interdisciplinary nature of enterprise</w:t>
            </w:r>
          </w:p>
        </w:tc>
        <w:tc>
          <w:tcPr>
            <w:tcW w:w="8067" w:type="dxa"/>
            <w:tcBorders>
              <w:top w:val="single" w:sz="4" w:space="0" w:color="C0C0C0"/>
              <w:left w:val="single" w:sz="4" w:space="0" w:color="C0C0C0"/>
              <w:bottom w:val="single" w:sz="4" w:space="0" w:color="C0C0C0"/>
            </w:tcBorders>
          </w:tcPr>
          <w:p w:rsidR="00B2668A" w:rsidRPr="00912BB3" w:rsidRDefault="00B2668A" w:rsidP="00B2668A">
            <w:pPr>
              <w:rPr>
                <w:rFonts w:cs="Arial"/>
                <w:i/>
                <w:szCs w:val="20"/>
              </w:rPr>
            </w:pPr>
          </w:p>
        </w:tc>
      </w:tr>
      <w:tr w:rsidR="00B2668A" w:rsidRPr="00912BB3" w:rsidTr="00E406F1">
        <w:trPr>
          <w:trHeight w:val="291"/>
        </w:trPr>
        <w:tc>
          <w:tcPr>
            <w:tcW w:w="4883" w:type="dxa"/>
            <w:tcBorders>
              <w:top w:val="single" w:sz="4" w:space="0" w:color="C0C0C0"/>
              <w:bottom w:val="single" w:sz="4" w:space="0" w:color="auto"/>
              <w:right w:val="single" w:sz="4" w:space="0" w:color="C0C0C0"/>
            </w:tcBorders>
            <w:shd w:val="clear" w:color="auto" w:fill="E6E6E6"/>
          </w:tcPr>
          <w:p w:rsidR="00B2668A" w:rsidRPr="00D0356A" w:rsidRDefault="00B2668A" w:rsidP="00B2668A">
            <w:pPr>
              <w:pStyle w:val="ListParagraph"/>
              <w:numPr>
                <w:ilvl w:val="0"/>
                <w:numId w:val="11"/>
              </w:numPr>
              <w:spacing w:after="60"/>
              <w:rPr>
                <w:rFonts w:cs="Arial"/>
                <w:iCs/>
                <w:sz w:val="20"/>
                <w:szCs w:val="20"/>
              </w:rPr>
            </w:pPr>
            <w:r w:rsidRPr="00D0356A">
              <w:rPr>
                <w:rFonts w:cs="Arial"/>
                <w:iCs/>
                <w:sz w:val="20"/>
                <w:szCs w:val="20"/>
              </w:rPr>
              <w:t>Students have financial literacy in the context of developing commercial awareness</w:t>
            </w:r>
          </w:p>
        </w:tc>
        <w:tc>
          <w:tcPr>
            <w:tcW w:w="8067" w:type="dxa"/>
            <w:tcBorders>
              <w:top w:val="single" w:sz="4" w:space="0" w:color="C0C0C0"/>
              <w:left w:val="single" w:sz="4" w:space="0" w:color="C0C0C0"/>
              <w:bottom w:val="single" w:sz="4" w:space="0" w:color="auto"/>
            </w:tcBorders>
          </w:tcPr>
          <w:p w:rsidR="00B2668A" w:rsidRPr="00912BB3" w:rsidRDefault="00B2668A" w:rsidP="00B2668A">
            <w:pPr>
              <w:rPr>
                <w:rFonts w:cs="Arial"/>
                <w:i/>
                <w:szCs w:val="20"/>
              </w:rPr>
            </w:pPr>
          </w:p>
        </w:tc>
      </w:tr>
    </w:tbl>
    <w:p w:rsidR="00D866ED" w:rsidRPr="00912BB3" w:rsidRDefault="00D866ED" w:rsidP="00D866ED"/>
    <w:p w:rsidR="00C93F77" w:rsidRPr="00912BB3" w:rsidRDefault="00C93F77" w:rsidP="00D866ED"/>
    <w:p w:rsidR="00C93F77" w:rsidRPr="00912BB3" w:rsidRDefault="00C93F77" w:rsidP="00D866ED"/>
    <w:p w:rsidR="00D53120" w:rsidRPr="00912BB3" w:rsidRDefault="00D53120" w:rsidP="00D53120">
      <w:pPr>
        <w:rPr>
          <w:b/>
          <w:szCs w:val="20"/>
        </w:rPr>
      </w:pPr>
      <w:r w:rsidRPr="00912BB3">
        <w:rPr>
          <w:b/>
          <w:szCs w:val="20"/>
        </w:rPr>
        <w:t>Checklist</w:t>
      </w:r>
    </w:p>
    <w:p w:rsidR="00D53120" w:rsidRPr="00912BB3" w:rsidRDefault="00D53120" w:rsidP="00D53120">
      <w:pPr>
        <w:rPr>
          <w:szCs w:val="20"/>
        </w:rPr>
      </w:pPr>
    </w:p>
    <w:p w:rsidR="00D53120" w:rsidRPr="00912BB3" w:rsidRDefault="00D53120" w:rsidP="00D53120">
      <w:pPr>
        <w:rPr>
          <w:szCs w:val="20"/>
        </w:rPr>
      </w:pPr>
      <w:r w:rsidRPr="00912BB3">
        <w:rPr>
          <w:szCs w:val="20"/>
        </w:rPr>
        <w:t>Have you included in your electronic submission (</w:t>
      </w:r>
      <w:r w:rsidR="0045393D" w:rsidRPr="00912BB3">
        <w:rPr>
          <w:szCs w:val="20"/>
        </w:rPr>
        <w:t xml:space="preserve">See </w:t>
      </w:r>
      <w:r w:rsidRPr="00912BB3">
        <w:rPr>
          <w:szCs w:val="20"/>
        </w:rPr>
        <w:t xml:space="preserve">Appendix A of handbook </w:t>
      </w:r>
      <w:r w:rsidR="0045393D" w:rsidRPr="00912BB3">
        <w:rPr>
          <w:szCs w:val="20"/>
        </w:rPr>
        <w:t xml:space="preserve">for full </w:t>
      </w:r>
      <w:proofErr w:type="gramStart"/>
      <w:r w:rsidR="0045393D" w:rsidRPr="00912BB3">
        <w:rPr>
          <w:szCs w:val="20"/>
        </w:rPr>
        <w:t>details</w:t>
      </w:r>
      <w:r w:rsidRPr="00912BB3">
        <w:rPr>
          <w:szCs w:val="20"/>
        </w:rPr>
        <w:t>):</w:t>
      </w:r>
      <w:proofErr w:type="gramEnd"/>
    </w:p>
    <w:p w:rsidR="00D53120" w:rsidRPr="00912BB3" w:rsidRDefault="00D53120" w:rsidP="00D53120">
      <w:pPr>
        <w:rPr>
          <w:szCs w:val="20"/>
        </w:rPr>
      </w:pPr>
    </w:p>
    <w:p w:rsidR="00D53120" w:rsidRPr="00912BB3" w:rsidRDefault="00D53120" w:rsidP="00B2668A">
      <w:pPr>
        <w:pStyle w:val="ListParagraph"/>
        <w:numPr>
          <w:ilvl w:val="0"/>
          <w:numId w:val="3"/>
        </w:numPr>
        <w:rPr>
          <w:sz w:val="20"/>
          <w:szCs w:val="20"/>
        </w:rPr>
      </w:pPr>
      <w:r w:rsidRPr="00912BB3">
        <w:rPr>
          <w:sz w:val="20"/>
          <w:szCs w:val="20"/>
        </w:rPr>
        <w:t>The Letter of Intent</w:t>
      </w:r>
    </w:p>
    <w:p w:rsidR="00D53120" w:rsidRPr="00912BB3" w:rsidRDefault="00D53120" w:rsidP="00B2668A">
      <w:pPr>
        <w:pStyle w:val="ListParagraph"/>
        <w:numPr>
          <w:ilvl w:val="0"/>
          <w:numId w:val="3"/>
        </w:numPr>
        <w:rPr>
          <w:sz w:val="20"/>
          <w:szCs w:val="20"/>
        </w:rPr>
      </w:pPr>
      <w:r w:rsidRPr="00912BB3">
        <w:rPr>
          <w:sz w:val="20"/>
          <w:szCs w:val="20"/>
        </w:rPr>
        <w:t>Programme Specifications with:</w:t>
      </w:r>
    </w:p>
    <w:p w:rsidR="00D53120" w:rsidRPr="00912BB3" w:rsidRDefault="00D53120" w:rsidP="00B2668A">
      <w:pPr>
        <w:pStyle w:val="ListParagraph"/>
        <w:numPr>
          <w:ilvl w:val="1"/>
          <w:numId w:val="3"/>
        </w:numPr>
        <w:rPr>
          <w:sz w:val="20"/>
          <w:szCs w:val="20"/>
        </w:rPr>
      </w:pPr>
      <w:r w:rsidRPr="00912BB3">
        <w:rPr>
          <w:sz w:val="20"/>
          <w:szCs w:val="20"/>
        </w:rPr>
        <w:t>Details of programme structure</w:t>
      </w:r>
    </w:p>
    <w:p w:rsidR="00D53120" w:rsidRPr="00912BB3" w:rsidRDefault="00D53120" w:rsidP="00B2668A">
      <w:pPr>
        <w:pStyle w:val="ListParagraph"/>
        <w:numPr>
          <w:ilvl w:val="1"/>
          <w:numId w:val="3"/>
        </w:numPr>
        <w:rPr>
          <w:sz w:val="20"/>
          <w:szCs w:val="20"/>
        </w:rPr>
      </w:pPr>
      <w:r w:rsidRPr="00912BB3">
        <w:rPr>
          <w:sz w:val="20"/>
          <w:szCs w:val="20"/>
        </w:rPr>
        <w:t>Learning outcomes</w:t>
      </w:r>
    </w:p>
    <w:p w:rsidR="00D53120" w:rsidRPr="00912BB3" w:rsidRDefault="00D53120" w:rsidP="00B2668A">
      <w:pPr>
        <w:pStyle w:val="ListParagraph"/>
        <w:numPr>
          <w:ilvl w:val="1"/>
          <w:numId w:val="3"/>
        </w:numPr>
        <w:rPr>
          <w:sz w:val="20"/>
          <w:szCs w:val="20"/>
        </w:rPr>
      </w:pPr>
      <w:r w:rsidRPr="00912BB3">
        <w:rPr>
          <w:sz w:val="20"/>
          <w:szCs w:val="20"/>
        </w:rPr>
        <w:t>List/definitions of te</w:t>
      </w:r>
      <w:r w:rsidR="004D39C5" w:rsidRPr="00912BB3">
        <w:rPr>
          <w:sz w:val="20"/>
          <w:szCs w:val="20"/>
        </w:rPr>
        <w:t>rms and acronyms used by the university</w:t>
      </w:r>
    </w:p>
    <w:p w:rsidR="00D53120" w:rsidRPr="00912BB3" w:rsidRDefault="00D53120" w:rsidP="00B2668A">
      <w:pPr>
        <w:pStyle w:val="ListParagraph"/>
        <w:numPr>
          <w:ilvl w:val="1"/>
          <w:numId w:val="3"/>
        </w:numPr>
        <w:rPr>
          <w:sz w:val="20"/>
          <w:szCs w:val="20"/>
        </w:rPr>
      </w:pPr>
      <w:r w:rsidRPr="00912BB3">
        <w:rPr>
          <w:sz w:val="20"/>
          <w:szCs w:val="20"/>
        </w:rPr>
        <w:t>Assessment strategy</w:t>
      </w:r>
    </w:p>
    <w:p w:rsidR="00D53120" w:rsidRPr="00912BB3" w:rsidRDefault="00D53120" w:rsidP="00B2668A">
      <w:pPr>
        <w:pStyle w:val="ListParagraph"/>
        <w:numPr>
          <w:ilvl w:val="0"/>
          <w:numId w:val="3"/>
        </w:numPr>
        <w:rPr>
          <w:sz w:val="20"/>
          <w:szCs w:val="20"/>
        </w:rPr>
      </w:pPr>
      <w:r w:rsidRPr="00912BB3">
        <w:rPr>
          <w:sz w:val="20"/>
          <w:szCs w:val="20"/>
        </w:rPr>
        <w:t>Module descriptors</w:t>
      </w:r>
    </w:p>
    <w:p w:rsidR="00D53120" w:rsidRPr="00912BB3" w:rsidRDefault="00D53120" w:rsidP="00B2668A">
      <w:pPr>
        <w:pStyle w:val="ListParagraph"/>
        <w:numPr>
          <w:ilvl w:val="0"/>
          <w:numId w:val="3"/>
        </w:numPr>
        <w:rPr>
          <w:sz w:val="20"/>
          <w:szCs w:val="20"/>
        </w:rPr>
      </w:pPr>
      <w:r w:rsidRPr="00912BB3">
        <w:rPr>
          <w:sz w:val="20"/>
          <w:szCs w:val="20"/>
        </w:rPr>
        <w:t xml:space="preserve">Resource documents </w:t>
      </w:r>
    </w:p>
    <w:p w:rsidR="00D53120" w:rsidRPr="00912BB3" w:rsidRDefault="00D53120" w:rsidP="00B2668A">
      <w:pPr>
        <w:pStyle w:val="ListParagraph"/>
        <w:numPr>
          <w:ilvl w:val="1"/>
          <w:numId w:val="3"/>
        </w:numPr>
        <w:rPr>
          <w:sz w:val="20"/>
          <w:szCs w:val="20"/>
        </w:rPr>
      </w:pPr>
      <w:r w:rsidRPr="00912BB3">
        <w:rPr>
          <w:sz w:val="20"/>
          <w:szCs w:val="20"/>
        </w:rPr>
        <w:t>Overview of facilities</w:t>
      </w:r>
    </w:p>
    <w:p w:rsidR="00D53120" w:rsidRPr="00912BB3" w:rsidRDefault="00D53120" w:rsidP="00B2668A">
      <w:pPr>
        <w:pStyle w:val="ListParagraph"/>
        <w:numPr>
          <w:ilvl w:val="1"/>
          <w:numId w:val="3"/>
        </w:numPr>
        <w:rPr>
          <w:sz w:val="20"/>
          <w:szCs w:val="20"/>
        </w:rPr>
      </w:pPr>
      <w:r w:rsidRPr="00912BB3">
        <w:rPr>
          <w:sz w:val="20"/>
          <w:szCs w:val="20"/>
        </w:rPr>
        <w:t xml:space="preserve">Brief </w:t>
      </w:r>
      <w:r w:rsidR="00C92DB8" w:rsidRPr="00912BB3">
        <w:rPr>
          <w:sz w:val="20"/>
          <w:szCs w:val="20"/>
        </w:rPr>
        <w:t>r</w:t>
      </w:r>
      <w:r w:rsidR="00FD6AA0" w:rsidRPr="00912BB3">
        <w:rPr>
          <w:rFonts w:cs="Arial"/>
          <w:sz w:val="20"/>
          <w:szCs w:val="20"/>
        </w:rPr>
        <w:t>é</w:t>
      </w:r>
      <w:r w:rsidR="00C92DB8" w:rsidRPr="00912BB3">
        <w:rPr>
          <w:sz w:val="20"/>
          <w:szCs w:val="20"/>
        </w:rPr>
        <w:t>sum</w:t>
      </w:r>
      <w:r w:rsidR="00FD6AA0" w:rsidRPr="00912BB3">
        <w:rPr>
          <w:rFonts w:cs="Arial"/>
          <w:sz w:val="20"/>
          <w:szCs w:val="20"/>
        </w:rPr>
        <w:t>é</w:t>
      </w:r>
      <w:r w:rsidRPr="00912BB3">
        <w:rPr>
          <w:sz w:val="20"/>
          <w:szCs w:val="20"/>
        </w:rPr>
        <w:t>s of staff</w:t>
      </w:r>
    </w:p>
    <w:p w:rsidR="00D53120" w:rsidRDefault="00D53120" w:rsidP="00B2668A">
      <w:pPr>
        <w:pStyle w:val="ListParagraph"/>
        <w:numPr>
          <w:ilvl w:val="1"/>
          <w:numId w:val="3"/>
        </w:numPr>
        <w:rPr>
          <w:sz w:val="20"/>
          <w:szCs w:val="20"/>
        </w:rPr>
      </w:pPr>
      <w:r w:rsidRPr="00912BB3">
        <w:rPr>
          <w:sz w:val="20"/>
          <w:szCs w:val="20"/>
        </w:rPr>
        <w:t>Relevant handbooks or guidance</w:t>
      </w:r>
    </w:p>
    <w:p w:rsidR="00D20DF5" w:rsidRPr="00912BB3" w:rsidRDefault="00D20DF5" w:rsidP="00B2668A">
      <w:pPr>
        <w:pStyle w:val="ListParagraph"/>
        <w:numPr>
          <w:ilvl w:val="1"/>
          <w:numId w:val="3"/>
        </w:numPr>
        <w:rPr>
          <w:sz w:val="20"/>
          <w:szCs w:val="20"/>
        </w:rPr>
      </w:pPr>
      <w:r>
        <w:rPr>
          <w:sz w:val="20"/>
          <w:szCs w:val="20"/>
        </w:rPr>
        <w:t xml:space="preserve">Equality and Diversity Policy </w:t>
      </w:r>
    </w:p>
    <w:p w:rsidR="00D53120" w:rsidRPr="00912BB3" w:rsidRDefault="00D53120" w:rsidP="00B2668A">
      <w:pPr>
        <w:pStyle w:val="ListParagraph"/>
        <w:numPr>
          <w:ilvl w:val="0"/>
          <w:numId w:val="3"/>
        </w:numPr>
        <w:rPr>
          <w:sz w:val="20"/>
          <w:szCs w:val="20"/>
        </w:rPr>
      </w:pPr>
      <w:r w:rsidRPr="00912BB3">
        <w:rPr>
          <w:sz w:val="20"/>
          <w:szCs w:val="20"/>
        </w:rPr>
        <w:t>Internal or external reviews or reports</w:t>
      </w:r>
    </w:p>
    <w:p w:rsidR="00D53120" w:rsidRPr="00912BB3" w:rsidRDefault="00D53120" w:rsidP="00B2668A">
      <w:pPr>
        <w:pStyle w:val="ListParagraph"/>
        <w:numPr>
          <w:ilvl w:val="1"/>
          <w:numId w:val="3"/>
        </w:numPr>
        <w:rPr>
          <w:sz w:val="20"/>
          <w:szCs w:val="20"/>
        </w:rPr>
      </w:pPr>
      <w:r w:rsidRPr="00912BB3">
        <w:rPr>
          <w:sz w:val="20"/>
          <w:szCs w:val="20"/>
        </w:rPr>
        <w:t>Periodic review file</w:t>
      </w:r>
    </w:p>
    <w:p w:rsidR="00D53120" w:rsidRPr="00912BB3" w:rsidRDefault="00D53120" w:rsidP="00B2668A">
      <w:pPr>
        <w:pStyle w:val="ListParagraph"/>
        <w:numPr>
          <w:ilvl w:val="1"/>
          <w:numId w:val="3"/>
        </w:numPr>
        <w:rPr>
          <w:sz w:val="20"/>
          <w:szCs w:val="20"/>
        </w:rPr>
      </w:pPr>
      <w:r w:rsidRPr="00912BB3">
        <w:rPr>
          <w:sz w:val="20"/>
          <w:szCs w:val="20"/>
        </w:rPr>
        <w:t>External examiners’ reports for previous two years</w:t>
      </w:r>
    </w:p>
    <w:p w:rsidR="00D53120" w:rsidRPr="00912BB3" w:rsidRDefault="00D53120" w:rsidP="00B2668A">
      <w:pPr>
        <w:pStyle w:val="ListParagraph"/>
        <w:numPr>
          <w:ilvl w:val="1"/>
          <w:numId w:val="3"/>
        </w:numPr>
        <w:rPr>
          <w:sz w:val="20"/>
          <w:szCs w:val="20"/>
        </w:rPr>
      </w:pPr>
      <w:r w:rsidRPr="00912BB3">
        <w:rPr>
          <w:sz w:val="20"/>
          <w:szCs w:val="20"/>
        </w:rPr>
        <w:t>Link to most recent QAA reviews</w:t>
      </w:r>
      <w:r w:rsidR="0045393D" w:rsidRPr="00912BB3">
        <w:rPr>
          <w:sz w:val="20"/>
          <w:szCs w:val="20"/>
        </w:rPr>
        <w:t>, internal reviews or equivalent</w:t>
      </w:r>
    </w:p>
    <w:p w:rsidR="001161BA" w:rsidRPr="00912BB3" w:rsidRDefault="001161BA" w:rsidP="00B2668A">
      <w:pPr>
        <w:pStyle w:val="ListParagraph"/>
        <w:numPr>
          <w:ilvl w:val="0"/>
          <w:numId w:val="3"/>
        </w:numPr>
        <w:rPr>
          <w:sz w:val="20"/>
          <w:szCs w:val="20"/>
        </w:rPr>
      </w:pPr>
      <w:r w:rsidRPr="00912BB3">
        <w:rPr>
          <w:sz w:val="20"/>
          <w:szCs w:val="20"/>
        </w:rPr>
        <w:t>Confirmation of procedures within university for ethical approvals, relevant licences (where applicable)</w:t>
      </w:r>
    </w:p>
    <w:p w:rsidR="00D53120" w:rsidRPr="00912BB3" w:rsidRDefault="00D53120" w:rsidP="00B2668A">
      <w:pPr>
        <w:pStyle w:val="ListParagraph"/>
        <w:numPr>
          <w:ilvl w:val="0"/>
          <w:numId w:val="3"/>
        </w:numPr>
        <w:rPr>
          <w:sz w:val="20"/>
          <w:szCs w:val="20"/>
        </w:rPr>
      </w:pPr>
      <w:r w:rsidRPr="00912BB3">
        <w:rPr>
          <w:sz w:val="20"/>
          <w:szCs w:val="20"/>
        </w:rPr>
        <w:t>Destination statistics of graduates</w:t>
      </w:r>
    </w:p>
    <w:p w:rsidR="00D53120" w:rsidRPr="00912BB3" w:rsidRDefault="00D53120" w:rsidP="00B2668A">
      <w:pPr>
        <w:pStyle w:val="ListParagraph"/>
        <w:numPr>
          <w:ilvl w:val="0"/>
          <w:numId w:val="3"/>
        </w:numPr>
        <w:rPr>
          <w:sz w:val="20"/>
          <w:szCs w:val="20"/>
        </w:rPr>
      </w:pPr>
      <w:r w:rsidRPr="00912BB3">
        <w:rPr>
          <w:sz w:val="20"/>
          <w:szCs w:val="20"/>
        </w:rPr>
        <w:t>Most recent summative assessments, marking criteria and model answers</w:t>
      </w:r>
    </w:p>
    <w:p w:rsidR="00D53120" w:rsidRPr="00912BB3" w:rsidRDefault="00D53120" w:rsidP="00B2668A">
      <w:pPr>
        <w:pStyle w:val="ListParagraph"/>
        <w:numPr>
          <w:ilvl w:val="0"/>
          <w:numId w:val="3"/>
        </w:numPr>
        <w:rPr>
          <w:sz w:val="20"/>
          <w:szCs w:val="20"/>
        </w:rPr>
      </w:pPr>
      <w:r w:rsidRPr="00912BB3">
        <w:rPr>
          <w:sz w:val="20"/>
          <w:szCs w:val="20"/>
        </w:rPr>
        <w:t xml:space="preserve">Accreditation </w:t>
      </w:r>
      <w:r w:rsidR="003203D0" w:rsidRPr="00912BB3">
        <w:rPr>
          <w:sz w:val="20"/>
          <w:szCs w:val="20"/>
        </w:rPr>
        <w:t>template</w:t>
      </w:r>
      <w:r w:rsidR="00D20DF5">
        <w:rPr>
          <w:sz w:val="20"/>
          <w:szCs w:val="20"/>
        </w:rPr>
        <w:t>/matrix</w:t>
      </w:r>
      <w:bookmarkStart w:id="0" w:name="_GoBack"/>
      <w:bookmarkEnd w:id="0"/>
    </w:p>
    <w:p w:rsidR="00E406F1" w:rsidRPr="00912BB3" w:rsidRDefault="00E406F1" w:rsidP="00B2668A">
      <w:pPr>
        <w:pStyle w:val="ListParagraph"/>
        <w:numPr>
          <w:ilvl w:val="0"/>
          <w:numId w:val="3"/>
        </w:numPr>
        <w:rPr>
          <w:sz w:val="20"/>
          <w:szCs w:val="20"/>
        </w:rPr>
      </w:pPr>
      <w:r w:rsidRPr="00912BB3">
        <w:rPr>
          <w:sz w:val="20"/>
          <w:szCs w:val="20"/>
        </w:rPr>
        <w:t>Table of technical skills</w:t>
      </w:r>
    </w:p>
    <w:p w:rsidR="00D53120" w:rsidRPr="00A73AD7" w:rsidRDefault="00D53120" w:rsidP="00D53120">
      <w:pPr>
        <w:pStyle w:val="ListParagraph"/>
        <w:rPr>
          <w:sz w:val="20"/>
          <w:szCs w:val="20"/>
        </w:rPr>
      </w:pPr>
      <w:r>
        <w:rPr>
          <w:sz w:val="20"/>
          <w:szCs w:val="20"/>
        </w:rPr>
        <w:t xml:space="preserve"> </w:t>
      </w:r>
    </w:p>
    <w:p w:rsidR="00D53120" w:rsidRPr="00A73AD7" w:rsidRDefault="00D53120" w:rsidP="00D53120">
      <w:pPr>
        <w:rPr>
          <w:rFonts w:cs="Arial"/>
          <w:szCs w:val="20"/>
        </w:rPr>
      </w:pPr>
    </w:p>
    <w:p w:rsidR="00D53120" w:rsidRDefault="00D53120" w:rsidP="00D53120"/>
    <w:p w:rsidR="0088738A" w:rsidRPr="00982DB3" w:rsidRDefault="0088738A" w:rsidP="00982DB3"/>
    <w:sectPr w:rsidR="0088738A" w:rsidRPr="00982DB3" w:rsidSect="00155874">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16" w:rsidRDefault="00A40516">
      <w:r>
        <w:separator/>
      </w:r>
    </w:p>
  </w:endnote>
  <w:endnote w:type="continuationSeparator" w:id="0">
    <w:p w:rsidR="00A40516" w:rsidRDefault="00A4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rsidR="00E145E9" w:rsidRDefault="00C058CA">
        <w:pPr>
          <w:pStyle w:val="Footer"/>
          <w:jc w:val="right"/>
        </w:pPr>
        <w:r>
          <w:fldChar w:fldCharType="begin"/>
        </w:r>
        <w:r>
          <w:instrText xml:space="preserve"> PAGE   \* MERGEFORMAT </w:instrText>
        </w:r>
        <w:r>
          <w:fldChar w:fldCharType="separate"/>
        </w:r>
        <w:r w:rsidR="00D20DF5">
          <w:rPr>
            <w:noProof/>
          </w:rPr>
          <w:t>7</w:t>
        </w:r>
        <w:r>
          <w:rPr>
            <w:noProof/>
          </w:rPr>
          <w:fldChar w:fldCharType="end"/>
        </w:r>
      </w:p>
    </w:sdtContent>
  </w:sdt>
  <w:p w:rsidR="00E145E9" w:rsidRDefault="00E145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16" w:rsidRDefault="00A40516">
      <w:r>
        <w:separator/>
      </w:r>
    </w:p>
  </w:footnote>
  <w:footnote w:type="continuationSeparator" w:id="0">
    <w:p w:rsidR="00A40516" w:rsidRDefault="00A405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E9" w:rsidRPr="00395C19" w:rsidRDefault="00EA4C0E" w:rsidP="00395C19">
    <w:pPr>
      <w:pStyle w:val="Heading1"/>
      <w:jc w:val="center"/>
      <w:rPr>
        <w:sz w:val="20"/>
        <w:szCs w:val="20"/>
      </w:rPr>
    </w:pPr>
    <w:r>
      <w:rPr>
        <w:noProof/>
        <w:sz w:val="20"/>
        <w:szCs w:val="20"/>
        <w:lang w:val="en-GB" w:eastAsia="en-GB"/>
      </w:rPr>
      <w:drawing>
        <wp:anchor distT="0" distB="0" distL="114300" distR="114300" simplePos="0" relativeHeight="251658240" behindDoc="0" locked="0" layoutInCell="1" allowOverlap="1" wp14:anchorId="6DB74F87" wp14:editId="2C72D5AC">
          <wp:simplePos x="0" y="0"/>
          <wp:positionH relativeFrom="column">
            <wp:posOffset>-198755</wp:posOffset>
          </wp:positionH>
          <wp:positionV relativeFrom="paragraph">
            <wp:posOffset>-209550</wp:posOffset>
          </wp:positionV>
          <wp:extent cx="1619250" cy="705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05485"/>
                  </a:xfrm>
                  <a:prstGeom prst="rect">
                    <a:avLst/>
                  </a:prstGeom>
                </pic:spPr>
              </pic:pic>
            </a:graphicData>
          </a:graphic>
          <wp14:sizeRelH relativeFrom="page">
            <wp14:pctWidth>0</wp14:pctWidth>
          </wp14:sizeRelH>
          <wp14:sizeRelV relativeFrom="page">
            <wp14:pctHeight>0</wp14:pctHeight>
          </wp14:sizeRelV>
        </wp:anchor>
      </w:drawing>
    </w:r>
    <w:r w:rsidR="00CB7DC2">
      <w:rPr>
        <w:sz w:val="20"/>
        <w:szCs w:val="20"/>
      </w:rPr>
      <w:t xml:space="preserve">International </w:t>
    </w:r>
    <w:r w:rsidR="00E145E9">
      <w:rPr>
        <w:sz w:val="20"/>
        <w:szCs w:val="20"/>
      </w:rPr>
      <w:t>Degree A</w:t>
    </w:r>
    <w:r w:rsidR="00E145E9" w:rsidRPr="00395C19">
      <w:rPr>
        <w:sz w:val="20"/>
        <w:szCs w:val="20"/>
      </w:rPr>
      <w:t>ccreditation</w:t>
    </w:r>
    <w:r w:rsidR="00E145E9">
      <w:rPr>
        <w:sz w:val="20"/>
        <w:szCs w:val="20"/>
      </w:rPr>
      <w:t xml:space="preserve"> </w:t>
    </w:r>
    <w:proofErr w:type="spellStart"/>
    <w:r w:rsidR="00E145E9">
      <w:rPr>
        <w:sz w:val="20"/>
        <w:szCs w:val="20"/>
      </w:rPr>
      <w:t>Programme</w:t>
    </w:r>
    <w:proofErr w:type="spellEnd"/>
    <w:r w:rsidR="00E145E9">
      <w:rPr>
        <w:sz w:val="20"/>
        <w:szCs w:val="20"/>
      </w:rPr>
      <w:t xml:space="preserve"> Evidence </w:t>
    </w:r>
    <w:r w:rsidR="00CE7A97">
      <w:rPr>
        <w:sz w:val="20"/>
        <w:szCs w:val="20"/>
      </w:rPr>
      <w:t>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725"/>
    <w:multiLevelType w:val="hybridMultilevel"/>
    <w:tmpl w:val="17BA93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04B51"/>
    <w:multiLevelType w:val="hybridMultilevel"/>
    <w:tmpl w:val="1FD8E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12E83"/>
    <w:multiLevelType w:val="hybridMultilevel"/>
    <w:tmpl w:val="C99E46B2"/>
    <w:lvl w:ilvl="0" w:tplc="A9DA8A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77B4C"/>
    <w:multiLevelType w:val="hybridMultilevel"/>
    <w:tmpl w:val="45C4F322"/>
    <w:lvl w:ilvl="0" w:tplc="0809001B">
      <w:start w:val="1"/>
      <w:numFmt w:val="lowerRoman"/>
      <w:lvlText w:val="%1."/>
      <w:lvlJc w:val="right"/>
      <w:pPr>
        <w:ind w:left="720" w:hanging="360"/>
      </w:pPr>
    </w:lvl>
    <w:lvl w:ilvl="1" w:tplc="0644E27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A69D9"/>
    <w:multiLevelType w:val="hybridMultilevel"/>
    <w:tmpl w:val="3F565B52"/>
    <w:lvl w:ilvl="0" w:tplc="BB7C2834">
      <w:start w:val="1"/>
      <w:numFmt w:val="lowerRoman"/>
      <w:lvlText w:val="%1."/>
      <w:lvlJc w:val="left"/>
      <w:pPr>
        <w:ind w:left="1440" w:hanging="720"/>
      </w:pPr>
      <w:rPr>
        <w:rFonts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6AB0161"/>
    <w:multiLevelType w:val="hybridMultilevel"/>
    <w:tmpl w:val="0BFE53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93189"/>
    <w:multiLevelType w:val="hybridMultilevel"/>
    <w:tmpl w:val="B8D8C8E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410F5F"/>
    <w:multiLevelType w:val="hybridMultilevel"/>
    <w:tmpl w:val="FCFCD66C"/>
    <w:lvl w:ilvl="0" w:tplc="79504D9C">
      <w:start w:val="2"/>
      <w:numFmt w:val="lowerRoman"/>
      <w:lvlText w:val="%1."/>
      <w:lvlJc w:val="left"/>
      <w:pPr>
        <w:ind w:left="2160" w:hanging="72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4651590"/>
    <w:multiLevelType w:val="hybridMultilevel"/>
    <w:tmpl w:val="EE9681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9B7721"/>
    <w:multiLevelType w:val="hybridMultilevel"/>
    <w:tmpl w:val="45C4F322"/>
    <w:lvl w:ilvl="0" w:tplc="0809001B">
      <w:start w:val="1"/>
      <w:numFmt w:val="lowerRoman"/>
      <w:lvlText w:val="%1."/>
      <w:lvlJc w:val="right"/>
      <w:pPr>
        <w:ind w:left="720" w:hanging="360"/>
      </w:pPr>
    </w:lvl>
    <w:lvl w:ilvl="1" w:tplc="0644E27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11"/>
  </w:num>
  <w:num w:numId="7">
    <w:abstractNumId w:val="0"/>
  </w:num>
  <w:num w:numId="8">
    <w:abstractNumId w:val="10"/>
  </w:num>
  <w:num w:numId="9">
    <w:abstractNumId w:val="7"/>
  </w:num>
  <w:num w:numId="10">
    <w:abstractNumId w:val="5"/>
  </w:num>
  <w:num w:numId="11">
    <w:abstractNumId w:val="8"/>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A"/>
    <w:rsid w:val="00002F8B"/>
    <w:rsid w:val="00003DD8"/>
    <w:rsid w:val="0001427E"/>
    <w:rsid w:val="00016797"/>
    <w:rsid w:val="000224B7"/>
    <w:rsid w:val="00030FE8"/>
    <w:rsid w:val="00036885"/>
    <w:rsid w:val="000407A8"/>
    <w:rsid w:val="00042ECB"/>
    <w:rsid w:val="00046DD9"/>
    <w:rsid w:val="00057711"/>
    <w:rsid w:val="000647D5"/>
    <w:rsid w:val="00080A96"/>
    <w:rsid w:val="000827F2"/>
    <w:rsid w:val="00085F82"/>
    <w:rsid w:val="000B0964"/>
    <w:rsid w:val="000C4EE1"/>
    <w:rsid w:val="000D5E85"/>
    <w:rsid w:val="000F0227"/>
    <w:rsid w:val="000F52EB"/>
    <w:rsid w:val="00101354"/>
    <w:rsid w:val="00110387"/>
    <w:rsid w:val="00114F80"/>
    <w:rsid w:val="00115564"/>
    <w:rsid w:val="001161BA"/>
    <w:rsid w:val="00155874"/>
    <w:rsid w:val="00156DCE"/>
    <w:rsid w:val="00157334"/>
    <w:rsid w:val="00166A26"/>
    <w:rsid w:val="001C6E09"/>
    <w:rsid w:val="001E1A6E"/>
    <w:rsid w:val="001E35F6"/>
    <w:rsid w:val="001E7328"/>
    <w:rsid w:val="001E7CF0"/>
    <w:rsid w:val="001F38DF"/>
    <w:rsid w:val="001F6AF7"/>
    <w:rsid w:val="00210C33"/>
    <w:rsid w:val="00212FD1"/>
    <w:rsid w:val="0023225B"/>
    <w:rsid w:val="002342DB"/>
    <w:rsid w:val="00246031"/>
    <w:rsid w:val="002B1104"/>
    <w:rsid w:val="002C3969"/>
    <w:rsid w:val="002E4A82"/>
    <w:rsid w:val="002F0F5F"/>
    <w:rsid w:val="002F1274"/>
    <w:rsid w:val="002F246C"/>
    <w:rsid w:val="002F5D00"/>
    <w:rsid w:val="00314BB7"/>
    <w:rsid w:val="00315249"/>
    <w:rsid w:val="00315284"/>
    <w:rsid w:val="003203D0"/>
    <w:rsid w:val="00325A31"/>
    <w:rsid w:val="003364BD"/>
    <w:rsid w:val="0034489E"/>
    <w:rsid w:val="00353DF4"/>
    <w:rsid w:val="003642ED"/>
    <w:rsid w:val="00366F04"/>
    <w:rsid w:val="00373707"/>
    <w:rsid w:val="003825A3"/>
    <w:rsid w:val="00384C41"/>
    <w:rsid w:val="0038550D"/>
    <w:rsid w:val="00385F14"/>
    <w:rsid w:val="0039272F"/>
    <w:rsid w:val="00395C19"/>
    <w:rsid w:val="003A34E5"/>
    <w:rsid w:val="003A4C99"/>
    <w:rsid w:val="003C3A87"/>
    <w:rsid w:val="003C69DA"/>
    <w:rsid w:val="003E040B"/>
    <w:rsid w:val="003E7962"/>
    <w:rsid w:val="003F6761"/>
    <w:rsid w:val="00407841"/>
    <w:rsid w:val="00417AB1"/>
    <w:rsid w:val="00426BE8"/>
    <w:rsid w:val="00430CF6"/>
    <w:rsid w:val="00432504"/>
    <w:rsid w:val="004328EE"/>
    <w:rsid w:val="004367F4"/>
    <w:rsid w:val="00442E14"/>
    <w:rsid w:val="00446C1F"/>
    <w:rsid w:val="0045393D"/>
    <w:rsid w:val="004542CD"/>
    <w:rsid w:val="00472606"/>
    <w:rsid w:val="00495C83"/>
    <w:rsid w:val="004D0BA3"/>
    <w:rsid w:val="004D39C5"/>
    <w:rsid w:val="004F0155"/>
    <w:rsid w:val="00517D71"/>
    <w:rsid w:val="00542E8F"/>
    <w:rsid w:val="00554BE4"/>
    <w:rsid w:val="00556864"/>
    <w:rsid w:val="00557CC2"/>
    <w:rsid w:val="005860F8"/>
    <w:rsid w:val="005919A7"/>
    <w:rsid w:val="00596825"/>
    <w:rsid w:val="005A7795"/>
    <w:rsid w:val="005B1A2A"/>
    <w:rsid w:val="005B591E"/>
    <w:rsid w:val="005C499C"/>
    <w:rsid w:val="005C4AC8"/>
    <w:rsid w:val="005F57A6"/>
    <w:rsid w:val="0060021A"/>
    <w:rsid w:val="00602EFF"/>
    <w:rsid w:val="00620CC6"/>
    <w:rsid w:val="00645D62"/>
    <w:rsid w:val="0065312C"/>
    <w:rsid w:val="00660CE1"/>
    <w:rsid w:val="0066609B"/>
    <w:rsid w:val="0067339E"/>
    <w:rsid w:val="006844E8"/>
    <w:rsid w:val="00685C10"/>
    <w:rsid w:val="006C03AF"/>
    <w:rsid w:val="006D60F0"/>
    <w:rsid w:val="006E0311"/>
    <w:rsid w:val="006E7404"/>
    <w:rsid w:val="0075224C"/>
    <w:rsid w:val="007608C0"/>
    <w:rsid w:val="00774B75"/>
    <w:rsid w:val="00777539"/>
    <w:rsid w:val="00783DE6"/>
    <w:rsid w:val="00790488"/>
    <w:rsid w:val="007A270F"/>
    <w:rsid w:val="007B0912"/>
    <w:rsid w:val="007C6952"/>
    <w:rsid w:val="007D78BE"/>
    <w:rsid w:val="007E6593"/>
    <w:rsid w:val="007F3BE3"/>
    <w:rsid w:val="00805C92"/>
    <w:rsid w:val="008121C4"/>
    <w:rsid w:val="00831CCF"/>
    <w:rsid w:val="008755B2"/>
    <w:rsid w:val="008771F5"/>
    <w:rsid w:val="0088738A"/>
    <w:rsid w:val="00893A59"/>
    <w:rsid w:val="008B2388"/>
    <w:rsid w:val="008C5409"/>
    <w:rsid w:val="008D165B"/>
    <w:rsid w:val="008D1F85"/>
    <w:rsid w:val="008E2BDB"/>
    <w:rsid w:val="008F1812"/>
    <w:rsid w:val="0090173F"/>
    <w:rsid w:val="00906CB4"/>
    <w:rsid w:val="00912BB3"/>
    <w:rsid w:val="00926785"/>
    <w:rsid w:val="00934F0B"/>
    <w:rsid w:val="00945F14"/>
    <w:rsid w:val="009632F6"/>
    <w:rsid w:val="009659CD"/>
    <w:rsid w:val="009818A4"/>
    <w:rsid w:val="00982DB3"/>
    <w:rsid w:val="009B1C25"/>
    <w:rsid w:val="009C0C15"/>
    <w:rsid w:val="009C5BE8"/>
    <w:rsid w:val="009C625E"/>
    <w:rsid w:val="009D4A02"/>
    <w:rsid w:val="009D7D34"/>
    <w:rsid w:val="009E03A4"/>
    <w:rsid w:val="009F125F"/>
    <w:rsid w:val="009F27B8"/>
    <w:rsid w:val="00A336FF"/>
    <w:rsid w:val="00A40516"/>
    <w:rsid w:val="00A41FBA"/>
    <w:rsid w:val="00A43D44"/>
    <w:rsid w:val="00A62BEC"/>
    <w:rsid w:val="00A63702"/>
    <w:rsid w:val="00A85DEC"/>
    <w:rsid w:val="00A91E7C"/>
    <w:rsid w:val="00AA64DB"/>
    <w:rsid w:val="00AB1AFC"/>
    <w:rsid w:val="00AD1E70"/>
    <w:rsid w:val="00AD4D3C"/>
    <w:rsid w:val="00AD7703"/>
    <w:rsid w:val="00AF0794"/>
    <w:rsid w:val="00AF347D"/>
    <w:rsid w:val="00AF44CC"/>
    <w:rsid w:val="00B031CE"/>
    <w:rsid w:val="00B05344"/>
    <w:rsid w:val="00B06B01"/>
    <w:rsid w:val="00B10901"/>
    <w:rsid w:val="00B22B23"/>
    <w:rsid w:val="00B23DDB"/>
    <w:rsid w:val="00B2668A"/>
    <w:rsid w:val="00B272A5"/>
    <w:rsid w:val="00B334EC"/>
    <w:rsid w:val="00B36DFB"/>
    <w:rsid w:val="00B429A0"/>
    <w:rsid w:val="00B55F9D"/>
    <w:rsid w:val="00B62E4D"/>
    <w:rsid w:val="00B87996"/>
    <w:rsid w:val="00BD24F8"/>
    <w:rsid w:val="00BE0B84"/>
    <w:rsid w:val="00BE1FAB"/>
    <w:rsid w:val="00BE65F2"/>
    <w:rsid w:val="00C018F3"/>
    <w:rsid w:val="00C058CA"/>
    <w:rsid w:val="00C23CB4"/>
    <w:rsid w:val="00C23FE8"/>
    <w:rsid w:val="00C24E95"/>
    <w:rsid w:val="00C30BE9"/>
    <w:rsid w:val="00C36415"/>
    <w:rsid w:val="00C4353A"/>
    <w:rsid w:val="00C4798E"/>
    <w:rsid w:val="00C52FEE"/>
    <w:rsid w:val="00C563BB"/>
    <w:rsid w:val="00C57D58"/>
    <w:rsid w:val="00C623E3"/>
    <w:rsid w:val="00C64203"/>
    <w:rsid w:val="00C67BFE"/>
    <w:rsid w:val="00C7142D"/>
    <w:rsid w:val="00C92DB8"/>
    <w:rsid w:val="00C93F77"/>
    <w:rsid w:val="00C940DF"/>
    <w:rsid w:val="00CB5A07"/>
    <w:rsid w:val="00CB6D20"/>
    <w:rsid w:val="00CB7DC2"/>
    <w:rsid w:val="00CE5107"/>
    <w:rsid w:val="00CE7A97"/>
    <w:rsid w:val="00D0300A"/>
    <w:rsid w:val="00D06A7F"/>
    <w:rsid w:val="00D12929"/>
    <w:rsid w:val="00D20DF5"/>
    <w:rsid w:val="00D26850"/>
    <w:rsid w:val="00D275CB"/>
    <w:rsid w:val="00D53120"/>
    <w:rsid w:val="00D6396D"/>
    <w:rsid w:val="00D701B4"/>
    <w:rsid w:val="00D71DFC"/>
    <w:rsid w:val="00D73CE5"/>
    <w:rsid w:val="00D866ED"/>
    <w:rsid w:val="00DB6D27"/>
    <w:rsid w:val="00DC2875"/>
    <w:rsid w:val="00DD49F1"/>
    <w:rsid w:val="00DE357E"/>
    <w:rsid w:val="00DE495B"/>
    <w:rsid w:val="00DF78F7"/>
    <w:rsid w:val="00E041C7"/>
    <w:rsid w:val="00E0670F"/>
    <w:rsid w:val="00E145E9"/>
    <w:rsid w:val="00E148CD"/>
    <w:rsid w:val="00E22D9B"/>
    <w:rsid w:val="00E245EB"/>
    <w:rsid w:val="00E258AA"/>
    <w:rsid w:val="00E2622A"/>
    <w:rsid w:val="00E275F0"/>
    <w:rsid w:val="00E314E9"/>
    <w:rsid w:val="00E406F1"/>
    <w:rsid w:val="00E5070D"/>
    <w:rsid w:val="00E62CE1"/>
    <w:rsid w:val="00E65C31"/>
    <w:rsid w:val="00E66956"/>
    <w:rsid w:val="00E73180"/>
    <w:rsid w:val="00E8461B"/>
    <w:rsid w:val="00E951E1"/>
    <w:rsid w:val="00EA4C0E"/>
    <w:rsid w:val="00EB032A"/>
    <w:rsid w:val="00EB121D"/>
    <w:rsid w:val="00EB5DC6"/>
    <w:rsid w:val="00EC33F5"/>
    <w:rsid w:val="00ED2D41"/>
    <w:rsid w:val="00ED34F3"/>
    <w:rsid w:val="00EE3932"/>
    <w:rsid w:val="00F10533"/>
    <w:rsid w:val="00F15EAF"/>
    <w:rsid w:val="00F21730"/>
    <w:rsid w:val="00F27BCD"/>
    <w:rsid w:val="00F3466F"/>
    <w:rsid w:val="00F532E1"/>
    <w:rsid w:val="00F560D6"/>
    <w:rsid w:val="00F626B3"/>
    <w:rsid w:val="00F645BF"/>
    <w:rsid w:val="00F66E03"/>
    <w:rsid w:val="00F71D40"/>
    <w:rsid w:val="00F76EC7"/>
    <w:rsid w:val="00F8509A"/>
    <w:rsid w:val="00FA784F"/>
    <w:rsid w:val="00FB5D8D"/>
    <w:rsid w:val="00FD6AA0"/>
    <w:rsid w:val="00FE4946"/>
    <w:rsid w:val="00FE62B7"/>
    <w:rsid w:val="00FF3D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CDD660"/>
  <w15:docId w15:val="{76615EE9-B59F-4C51-A7A3-14E58159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99"/>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 w:type="character" w:styleId="Hyperlink">
    <w:name w:val="Hyperlink"/>
    <w:basedOn w:val="DefaultParagraphFont"/>
    <w:uiPriority w:val="99"/>
    <w:unhideWhenUsed/>
    <w:rsid w:val="007D7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8196-B772-4691-A7E4-0DC4862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pitch.dot</Template>
  <TotalTime>27</TotalTime>
  <Pages>7</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Rosie Clear Hill</cp:lastModifiedBy>
  <cp:revision>4</cp:revision>
  <cp:lastPrinted>2015-02-07T12:23:00Z</cp:lastPrinted>
  <dcterms:created xsi:type="dcterms:W3CDTF">2020-07-30T09:18:00Z</dcterms:created>
  <dcterms:modified xsi:type="dcterms:W3CDTF">2020-07-30T09:47:00Z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